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autoSpaceDE w:val="0"/>
        <w:autoSpaceDN w:val="0"/>
        <w:adjustRightInd w:val="0"/>
        <w:ind w:right="-20"/>
        <w:jc w:val="center"/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光明区</w:t>
      </w: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  <w:lang w:eastAsia="zh-CN"/>
        </w:rPr>
        <w:t>“两馆”</w:t>
      </w: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变配电房电气设备运维托管</w:t>
      </w:r>
    </w:p>
    <w:p>
      <w:pPr>
        <w:numPr>
          <w:ilvl w:val="-1"/>
          <w:numId w:val="0"/>
        </w:numPr>
        <w:autoSpaceDE w:val="0"/>
        <w:autoSpaceDN w:val="0"/>
        <w:adjustRightInd w:val="0"/>
        <w:ind w:right="-20"/>
        <w:jc w:val="center"/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服务项目采购需求</w:t>
      </w:r>
    </w:p>
    <w:p>
      <w:pPr>
        <w:numPr>
          <w:ilvl w:val="-1"/>
          <w:numId w:val="0"/>
        </w:numPr>
        <w:autoSpaceDE w:val="0"/>
        <w:autoSpaceDN w:val="0"/>
        <w:adjustRightInd w:val="0"/>
        <w:ind w:left="0" w:right="-20"/>
        <w:jc w:val="left"/>
        <w:rPr>
          <w:rFonts w:hint="eastAsia" w:ascii="黑体" w:hAnsi="Times New Roman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color w:val="000000"/>
          <w:kern w:val="0"/>
          <w:sz w:val="24"/>
          <w:szCs w:val="32"/>
          <w:lang w:eastAsia="zh-CN"/>
        </w:rPr>
        <w:t>一、项目概况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before="35" w:line="317" w:lineRule="auto"/>
        <w:ind w:left="0" w:right="84" w:firstLine="488" w:firstLineChars="200"/>
        <w:jc w:val="left"/>
        <w:rPr>
          <w:rFonts w:hint="eastAsia" w:ascii="仿宋_GB2312" w:hAnsi="Times New Roman" w:eastAsia="仿宋_GB2312" w:cs="仿宋_GB2312"/>
          <w:color w:val="000000"/>
          <w:spacing w:val="2"/>
          <w:ker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为进一步规范光明区政府机关单位用电安全工作，保障光明区公共文化艺术发展中心下属的光明区图书馆、文化馆（以下简称“两馆”）的日常用电可靠性，现决定对“两馆”的高低压电气设备进行维护托管。“两馆”的电气设备清单如下：</w:t>
      </w:r>
    </w:p>
    <w:p>
      <w:pPr>
        <w:autoSpaceDE w:val="0"/>
        <w:autoSpaceDN w:val="0"/>
        <w:adjustRightInd w:val="0"/>
        <w:spacing w:before="4" w:line="150" w:lineRule="exact"/>
        <w:jc w:val="left"/>
        <w:rPr>
          <w:rFonts w:ascii="黑体" w:hAnsi="Times New Roman" w:eastAsia="黑体" w:cs="黑体"/>
          <w:color w:val="000000"/>
          <w:kern w:val="0"/>
          <w:sz w:val="15"/>
          <w:szCs w:val="15"/>
        </w:rPr>
      </w:pPr>
    </w:p>
    <w:tbl>
      <w:tblPr>
        <w:tblStyle w:val="2"/>
        <w:tblpPr w:leftFromText="180" w:rightFromText="180" w:vertAnchor="text" w:horzAnchor="page" w:tblpX="2497" w:tblpY="79"/>
        <w:tblOverlap w:val="never"/>
        <w:tblW w:w="75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680"/>
        <w:gridCol w:w="1605"/>
        <w:gridCol w:w="2049"/>
        <w:gridCol w:w="14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“两馆”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电气设备维保服务清单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设备类别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配电房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高压柜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面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低压柜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面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变压器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2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2"/>
              </w:rPr>
              <w:t>00kVA</w:t>
            </w:r>
          </w:p>
        </w:tc>
      </w:tr>
    </w:tbl>
    <w:p>
      <w:pPr>
        <w:autoSpaceDE w:val="0"/>
        <w:autoSpaceDN w:val="0"/>
        <w:adjustRightInd w:val="0"/>
        <w:spacing w:before="4" w:line="150" w:lineRule="exact"/>
        <w:jc w:val="left"/>
        <w:rPr>
          <w:rFonts w:ascii="仿宋_GB2312" w:hAnsi="Times New Roman" w:eastAsia="仿宋_GB2312" w:cs="黑体"/>
          <w:color w:val="000000"/>
          <w:kern w:val="0"/>
          <w:sz w:val="15"/>
          <w:szCs w:val="15"/>
        </w:rPr>
      </w:pPr>
    </w:p>
    <w:p>
      <w:pPr>
        <w:autoSpaceDE w:val="0"/>
        <w:autoSpaceDN w:val="0"/>
        <w:adjustRightInd w:val="0"/>
        <w:spacing w:before="35" w:line="317" w:lineRule="auto"/>
        <w:ind w:left="761" w:right="4177"/>
        <w:jc w:val="left"/>
        <w:rPr>
          <w:rFonts w:ascii="仿宋_GB2312" w:hAnsi="Times New Roman" w:eastAsia="仿宋_GB2312" w:cs="黑体"/>
          <w:kern w:val="0"/>
          <w:sz w:val="24"/>
          <w:szCs w:val="24"/>
        </w:rPr>
      </w:pPr>
      <w:r>
        <w:rPr>
          <w:rFonts w:hint="eastAsia" w:ascii="仿宋_GB2312" w:hAnsi="Times New Roman" w:eastAsia="仿宋_GB2312" w:cs="黑体"/>
          <w:kern w:val="0"/>
          <w:sz w:val="24"/>
          <w:szCs w:val="24"/>
        </w:rPr>
        <w:t>二、服务内容</w:t>
      </w:r>
    </w:p>
    <w:p>
      <w:pPr>
        <w:autoSpaceDE w:val="0"/>
        <w:autoSpaceDN w:val="0"/>
        <w:adjustRightInd w:val="0"/>
        <w:spacing w:before="35" w:line="317" w:lineRule="auto"/>
        <w:ind w:left="761" w:right="84"/>
        <w:jc w:val="left"/>
        <w:rPr>
          <w:rFonts w:ascii="仿宋_GB2312" w:hAnsi="Times New Roman" w:eastAsia="仿宋_GB2312" w:cs="仿宋_GB2312"/>
          <w:spacing w:val="2"/>
          <w:ker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1</w:t>
      </w:r>
    </w:p>
    <w:p>
      <w:pPr>
        <w:numPr>
          <w:ilvl w:val="-1"/>
          <w:numId w:val="0"/>
        </w:numPr>
        <w:autoSpaceDE w:val="0"/>
        <w:autoSpaceDN w:val="0"/>
        <w:adjustRightInd w:val="0"/>
        <w:spacing w:before="35" w:line="317" w:lineRule="auto"/>
        <w:ind w:left="0" w:right="4177" w:firstLine="0"/>
        <w:jc w:val="left"/>
        <w:rPr>
          <w:rFonts w:hint="eastAsia" w:ascii="黑体" w:hAnsi="Times New Roman" w:eastAsia="黑体" w:cs="黑体"/>
          <w:kern w:val="0"/>
          <w:sz w:val="24"/>
          <w:szCs w:val="24"/>
          <w:lang w:eastAsia="zh-CN"/>
        </w:rPr>
      </w:pPr>
      <w:r>
        <w:rPr>
          <w:rFonts w:hint="eastAsia" w:ascii="黑体" w:hAnsi="Times New Roman" w:eastAsia="黑体" w:cs="黑体"/>
          <w:kern w:val="0"/>
          <w:sz w:val="24"/>
          <w:szCs w:val="24"/>
          <w:lang w:eastAsia="zh-CN"/>
        </w:rPr>
        <w:t>二、</w:t>
      </w:r>
      <w:r>
        <w:rPr>
          <w:rFonts w:hint="eastAsia" w:ascii="黑体" w:hAnsi="Times New Roman" w:eastAsia="黑体" w:cs="黑体"/>
          <w:kern w:val="0"/>
          <w:sz w:val="24"/>
          <w:szCs w:val="24"/>
        </w:rPr>
        <w:t>服务</w:t>
      </w:r>
      <w:r>
        <w:rPr>
          <w:rFonts w:hint="eastAsia" w:ascii="黑体" w:hAnsi="Times New Roman" w:eastAsia="黑体" w:cs="黑体"/>
          <w:kern w:val="0"/>
          <w:sz w:val="24"/>
          <w:szCs w:val="24"/>
          <w:lang w:eastAsia="zh-CN"/>
        </w:rPr>
        <w:t>需求</w:t>
      </w:r>
    </w:p>
    <w:p>
      <w:pPr>
        <w:autoSpaceDE w:val="0"/>
        <w:autoSpaceDN w:val="0"/>
        <w:adjustRightInd w:val="0"/>
        <w:spacing w:before="35" w:after="0" w:line="317" w:lineRule="auto"/>
        <w:ind w:left="0" w:right="84" w:firstLine="0" w:firstLineChars="0"/>
        <w:jc w:val="left"/>
        <w:rPr>
          <w:rFonts w:hint="eastAsia" w:ascii="仿宋_GB2312" w:hAnsi="Times New Roman" w:eastAsia="仿宋_GB2312" w:cs="仿宋_GB2312"/>
          <w:b/>
          <w:bCs/>
          <w:color w:val="auto"/>
          <w:spacing w:val="2"/>
          <w:kern w:val="0"/>
          <w:sz w:val="24"/>
          <w:szCs w:val="24"/>
          <w:lang w:val="zh-CN"/>
        </w:rPr>
      </w:pPr>
      <w:r>
        <w:rPr>
          <w:rFonts w:hint="eastAsia" w:ascii="仿宋_GB2312" w:hAnsi="Times New Roman" w:eastAsia="仿宋_GB2312" w:cs="仿宋_GB2312"/>
          <w:b/>
          <w:bCs/>
          <w:spacing w:val="2"/>
          <w:kern w:val="0"/>
          <w:sz w:val="24"/>
          <w:szCs w:val="24"/>
          <w:lang w:val="zh-CN"/>
        </w:rPr>
        <w:t>（一）</w:t>
      </w:r>
      <w:r>
        <w:rPr>
          <w:rFonts w:hint="eastAsia" w:ascii="仿宋_GB2312" w:hAnsi="Times New Roman" w:eastAsia="仿宋_GB2312" w:cs="仿宋_GB2312"/>
          <w:b/>
          <w:bCs/>
          <w:color w:val="auto"/>
          <w:spacing w:val="2"/>
          <w:kern w:val="0"/>
          <w:sz w:val="24"/>
          <w:szCs w:val="24"/>
          <w:lang w:val="zh-CN"/>
        </w:rPr>
        <w:t>服务范围</w:t>
      </w:r>
    </w:p>
    <w:p>
      <w:pPr>
        <w:autoSpaceDE w:val="0"/>
        <w:autoSpaceDN w:val="0"/>
        <w:adjustRightInd w:val="0"/>
        <w:spacing w:before="35" w:line="317" w:lineRule="auto"/>
        <w:ind w:left="0" w:right="84" w:firstLine="488" w:firstLineChars="200"/>
        <w:jc w:val="left"/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仿宋_GB2312"/>
          <w:bCs w:val="0"/>
          <w:color w:val="auto"/>
          <w:spacing w:val="2"/>
          <w:kern w:val="0"/>
          <w:sz w:val="24"/>
          <w:szCs w:val="24"/>
        </w:rPr>
        <w:t>对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“两馆”</w:t>
      </w:r>
      <w:r>
        <w:rPr>
          <w:rFonts w:hint="eastAsia" w:ascii="仿宋_GB2312" w:hAnsi="Times New Roman" w:eastAsia="仿宋_GB2312" w:cs="仿宋_GB2312"/>
          <w:bCs w:val="0"/>
          <w:color w:val="auto"/>
          <w:spacing w:val="2"/>
          <w:kern w:val="0"/>
          <w:sz w:val="24"/>
          <w:szCs w:val="24"/>
        </w:rPr>
        <w:t>配电房电气设备进行线下日常巡检维护及线上智慧监测服务，其中线下日常巡检维护包括配电房环境、高压配电柜、变压器、低压配电柜；线上智慧监测服务包括数据监测（对变压器、进出线的电压、电流、电度记录，设备本体、连接头温度测量），智慧电能质量监测（电气监测、设备状态监测、环境安防监测、视频监测），提供月度运维报告，应急抢修，年度保养及变压器预防性试验等服务。</w:t>
      </w:r>
    </w:p>
    <w:p>
      <w:pPr>
        <w:autoSpaceDE w:val="0"/>
        <w:autoSpaceDN w:val="0"/>
        <w:adjustRightInd w:val="0"/>
        <w:spacing w:before="35" w:after="0" w:line="317" w:lineRule="auto"/>
        <w:ind w:left="0" w:right="84" w:firstLine="0" w:firstLineChars="0"/>
        <w:jc w:val="left"/>
        <w:rPr>
          <w:rFonts w:hint="eastAsia" w:ascii="仿宋_GB2312" w:hAnsi="Times New Roman" w:eastAsia="仿宋_GB2312" w:cs="仿宋_GB2312"/>
          <w:b/>
          <w:bCs/>
          <w:color w:val="auto"/>
          <w:spacing w:val="2"/>
          <w:kern w:val="0"/>
          <w:sz w:val="24"/>
          <w:szCs w:val="24"/>
          <w:lang w:val="zh-CN"/>
        </w:rPr>
      </w:pPr>
      <w:r>
        <w:rPr>
          <w:rFonts w:hint="eastAsia" w:ascii="仿宋_GB2312" w:hAnsi="Times New Roman" w:eastAsia="仿宋_GB2312" w:cs="仿宋_GB2312"/>
          <w:b/>
          <w:bCs/>
          <w:color w:val="auto"/>
          <w:spacing w:val="2"/>
          <w:kern w:val="0"/>
          <w:sz w:val="24"/>
          <w:szCs w:val="24"/>
          <w:lang w:val="zh-CN"/>
        </w:rPr>
        <w:t>（二）服务内容</w:t>
      </w:r>
    </w:p>
    <w:p>
      <w:pPr>
        <w:autoSpaceDE w:val="0"/>
        <w:autoSpaceDN w:val="0"/>
        <w:adjustRightInd w:val="0"/>
        <w:spacing w:before="35" w:line="317" w:lineRule="auto"/>
        <w:ind w:left="0" w:right="84" w:firstLine="0" w:firstLineChars="0"/>
        <w:jc w:val="left"/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1、定期巡检：日常巡检维护的服务周期为一周一次，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每月对“两馆”的电气设备（专用变压器、高压柜、低压柜）进行维护保养。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cr/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、年度大检：每年对配电房内高压设备进行一次大检，大检内容包括变压器的预防性试验和维护保养，具体停电时间由用户确定协调，完成后出具试验报告及维护建议。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cr/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、指导用户消除电气设备安全隐患。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cr/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、数据监测：对变压器、进出线的电压、电流、电度记录，设备本体、连接头温度测量。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cr/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、智慧电能质量监测：电气监测、设备状态监测、环境安防监测（包含水泵房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小时水侵预警监测）、视频监测。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cr/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、提供月度运维报告：提供设备运行状态、负荷情况、缺陷记录、维保内容、事故事件、分析建议等。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cr/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、应急抢修：全天候24小时应急抢修服务， 45分钟之内到达现场。</w:t>
      </w:r>
    </w:p>
    <w:p>
      <w:pPr>
        <w:autoSpaceDE w:val="0"/>
        <w:autoSpaceDN w:val="0"/>
        <w:adjustRightInd w:val="0"/>
        <w:spacing w:before="35" w:line="317" w:lineRule="auto"/>
        <w:ind w:left="0" w:right="84" w:firstLine="0" w:firstLineChars="0"/>
        <w:jc w:val="left"/>
        <w:rPr>
          <w:rFonts w:hint="eastAsia" w:ascii="仿宋_GB2312" w:hAnsi="Times New Roman" w:eastAsia="仿宋_GB2312" w:cs="仿宋_GB2312"/>
          <w:b/>
          <w:bCs/>
          <w:spacing w:val="2"/>
          <w:kern w:val="0"/>
          <w:sz w:val="24"/>
          <w:szCs w:val="24"/>
          <w:lang w:val="zh-CN"/>
        </w:rPr>
      </w:pPr>
      <w:r>
        <w:rPr>
          <w:rFonts w:hint="eastAsia" w:ascii="仿宋_GB2312" w:hAnsi="Times New Roman" w:eastAsia="仿宋_GB2312" w:cs="仿宋_GB2312"/>
          <w:b/>
          <w:bCs/>
          <w:spacing w:val="2"/>
          <w:kern w:val="0"/>
          <w:sz w:val="24"/>
          <w:szCs w:val="24"/>
          <w:lang w:val="zh-CN"/>
        </w:rPr>
        <w:t>（三）服务期限</w:t>
      </w:r>
    </w:p>
    <w:p>
      <w:pPr>
        <w:autoSpaceDE w:val="0"/>
        <w:autoSpaceDN w:val="0"/>
        <w:adjustRightInd w:val="0"/>
        <w:spacing w:before="35" w:line="317" w:lineRule="auto"/>
        <w:ind w:left="0" w:right="84" w:firstLine="488" w:firstLineChars="200"/>
        <w:jc w:val="left"/>
        <w:rPr>
          <w:rFonts w:hint="eastAsia" w:ascii="仿宋_GB2312" w:hAnsi="Times New Roman" w:eastAsia="仿宋_GB2312" w:cs="仿宋_GB2312"/>
          <w:bCs w:val="0"/>
          <w:spacing w:val="2"/>
          <w:kern w:val="0"/>
          <w:sz w:val="24"/>
          <w:szCs w:val="24"/>
          <w:lang w:val="zh-CN"/>
        </w:rPr>
      </w:pPr>
      <w:r>
        <w:rPr>
          <w:rFonts w:hint="eastAsia" w:ascii="仿宋_GB2312" w:hAnsi="Times New Roman" w:eastAsia="仿宋_GB2312" w:cs="仿宋_GB2312"/>
          <w:bCs w:val="0"/>
          <w:spacing w:val="2"/>
          <w:kern w:val="0"/>
          <w:sz w:val="24"/>
          <w:szCs w:val="24"/>
          <w:lang w:val="zh-CN"/>
        </w:rPr>
        <w:t>本项目服务期限为自合同签订之日起一年。</w:t>
      </w:r>
    </w:p>
    <w:p>
      <w:pPr>
        <w:autoSpaceDE w:val="0"/>
        <w:autoSpaceDN w:val="0"/>
        <w:adjustRightInd w:val="0"/>
        <w:spacing w:before="35" w:line="317" w:lineRule="auto"/>
        <w:ind w:left="0" w:right="84" w:firstLine="0" w:firstLineChars="0"/>
        <w:jc w:val="left"/>
        <w:rPr>
          <w:rFonts w:hint="eastAsia" w:ascii="仿宋_GB2312" w:hAnsi="Times New Roman" w:eastAsia="仿宋_GB2312" w:cs="仿宋_GB2312"/>
          <w:b/>
          <w:bCs/>
          <w:spacing w:val="2"/>
          <w:kern w:val="0"/>
          <w:sz w:val="24"/>
          <w:szCs w:val="24"/>
          <w:lang w:val="zh-CN"/>
        </w:rPr>
      </w:pPr>
      <w:r>
        <w:rPr>
          <w:rFonts w:hint="eastAsia" w:ascii="仿宋_GB2312" w:hAnsi="Times New Roman" w:eastAsia="仿宋_GB2312" w:cs="仿宋_GB2312"/>
          <w:b/>
          <w:bCs/>
          <w:spacing w:val="2"/>
          <w:kern w:val="0"/>
          <w:sz w:val="24"/>
          <w:szCs w:val="24"/>
          <w:lang w:val="zh-CN"/>
        </w:rPr>
        <w:t>（四）投入设施要求</w:t>
      </w:r>
    </w:p>
    <w:p>
      <w:pPr>
        <w:autoSpaceDE w:val="0"/>
        <w:autoSpaceDN w:val="0"/>
        <w:adjustRightInd w:val="0"/>
        <w:spacing w:before="35" w:line="317" w:lineRule="auto"/>
        <w:ind w:right="84" w:firstLine="0" w:firstLineChars="0"/>
        <w:jc w:val="left"/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1.具有固定的营业场所；</w:t>
      </w:r>
    </w:p>
    <w:p>
      <w:pPr>
        <w:autoSpaceDE w:val="0"/>
        <w:autoSpaceDN w:val="0"/>
        <w:adjustRightInd w:val="0"/>
        <w:spacing w:before="35" w:line="317" w:lineRule="auto"/>
        <w:ind w:right="84" w:firstLine="0" w:firstLineChars="0"/>
        <w:jc w:val="left"/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2.配备完善的办公硬件设施;</w:t>
      </w:r>
    </w:p>
    <w:p>
      <w:pPr>
        <w:autoSpaceDE w:val="0"/>
        <w:autoSpaceDN w:val="0"/>
        <w:adjustRightInd w:val="0"/>
        <w:spacing w:before="35" w:line="317" w:lineRule="auto"/>
        <w:ind w:left="0" w:right="84" w:firstLine="0" w:firstLineChars="0"/>
        <w:jc w:val="left"/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lang w:val="zh-CN"/>
        </w:rPr>
        <w:t>3.需在光明区成立项目部，且需配备足够的办公设备及车辆，执行团队全体成员需长期驻点光明区（如执行团队全体成员未长期驻点光明区的，视为违约，合同自动终止），负责整个项目的实施，项目服务人员，随时陪同参加检查工作。</w:t>
      </w:r>
    </w:p>
    <w:p>
      <w:pPr>
        <w:autoSpaceDE w:val="0"/>
        <w:autoSpaceDN w:val="0"/>
        <w:adjustRightInd w:val="0"/>
        <w:spacing w:before="35" w:line="317" w:lineRule="auto"/>
        <w:ind w:left="0" w:right="84" w:firstLine="0" w:firstLineChars="0"/>
        <w:jc w:val="left"/>
        <w:rPr>
          <w:rFonts w:hint="eastAsia" w:ascii="仿宋_GB2312" w:hAnsi="Times New Roman" w:eastAsia="仿宋_GB2312" w:cs="仿宋_GB2312"/>
          <w:b/>
          <w:bCs/>
          <w:spacing w:val="2"/>
          <w:kern w:val="0"/>
          <w:sz w:val="24"/>
          <w:szCs w:val="24"/>
          <w:lang w:val="zh-CN"/>
        </w:rPr>
      </w:pPr>
      <w:r>
        <w:rPr>
          <w:rFonts w:hint="eastAsia" w:ascii="仿宋_GB2312" w:hAnsi="Times New Roman" w:eastAsia="仿宋_GB2312" w:cs="仿宋_GB2312"/>
          <w:b/>
          <w:bCs/>
          <w:spacing w:val="2"/>
          <w:kern w:val="0"/>
          <w:sz w:val="24"/>
          <w:szCs w:val="24"/>
          <w:lang w:val="zh-CN"/>
        </w:rPr>
        <w:t>（五）服务要求</w:t>
      </w:r>
    </w:p>
    <w:p>
      <w:pPr>
        <w:autoSpaceDE w:val="0"/>
        <w:autoSpaceDN w:val="0"/>
        <w:adjustRightInd w:val="0"/>
        <w:spacing w:before="35" w:line="317" w:lineRule="auto"/>
        <w:ind w:left="0" w:right="84"/>
        <w:jc w:val="left"/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color w:val="auto"/>
          <w:spacing w:val="2"/>
          <w:kern w:val="0"/>
          <w:sz w:val="24"/>
          <w:szCs w:val="24"/>
        </w:rPr>
        <w:t>1、中标单位应严格遵守国家及电力行业相</w:t>
      </w: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关法律法规及合同约定相关要求对托管电气设备开展各项运维工作。</w:t>
      </w:r>
    </w:p>
    <w:p>
      <w:pPr>
        <w:autoSpaceDE w:val="0"/>
        <w:autoSpaceDN w:val="0"/>
        <w:adjustRightInd w:val="0"/>
        <w:spacing w:before="35" w:line="317" w:lineRule="auto"/>
        <w:ind w:left="0" w:right="84"/>
        <w:jc w:val="left"/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2、中标单位必须遵守有关电业安全规定，对其工作人员进行培训和管理，所有现场作业人员必须持证上岗。</w:t>
      </w:r>
    </w:p>
    <w:p>
      <w:pPr>
        <w:autoSpaceDE w:val="0"/>
        <w:autoSpaceDN w:val="0"/>
        <w:adjustRightInd w:val="0"/>
        <w:spacing w:before="35" w:line="317" w:lineRule="auto"/>
        <w:ind w:left="0" w:right="84"/>
        <w:jc w:val="left"/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3、中标单位每周与采购单位指派的工作人员一同进行用电巡查，巡查结果由双方签字确认，每月总结形成“月度运维报告”，并于每月固定时间交由采购单位存档。</w:t>
      </w:r>
    </w:p>
    <w:p>
      <w:pPr>
        <w:pStyle w:val="4"/>
        <w:numPr>
          <w:ilvl w:val="0"/>
          <w:numId w:val="0"/>
        </w:numPr>
        <w:autoSpaceDE w:val="0"/>
        <w:autoSpaceDN w:val="0"/>
        <w:adjustRightInd w:val="0"/>
        <w:spacing w:before="35" w:line="317" w:lineRule="auto"/>
        <w:ind w:left="0" w:leftChars="0" w:right="84" w:rightChars="0" w:firstLine="0" w:firstLineChars="0"/>
        <w:jc w:val="left"/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  <w:highlight w:val="none"/>
          <w:lang w:val="en-US" w:eastAsia="zh-CN" w:bidi="ar-SA"/>
        </w:rPr>
        <w:t>4、当遇到较大故障时，可随时调动就近服务点为后备支援力量，针对采购单位用电需求的特点，在“两馆”举行大型活动和重要会议期间，安排人员驻守场馆值守，一旦发生故障，势必需要第一时间进行故障的处理和紧急保供电方案作为应急保障,紧急情况时，必须配备500kW及以上的发电车进行应急保供电。</w:t>
      </w:r>
      <w:r>
        <w:rPr>
          <w:rFonts w:hint="eastAsia" w:ascii="仿宋_GB2312" w:hAnsi="Times New Roman" w:eastAsia="仿宋_GB2312" w:cs="仿宋_GB2312"/>
          <w:color w:val="auto"/>
          <w:spacing w:val="2"/>
          <w:kern w:val="0"/>
          <w:sz w:val="24"/>
          <w:szCs w:val="24"/>
          <w:highlight w:val="none"/>
          <w:lang w:val="en-US" w:eastAsia="zh-CN" w:bidi="ar-SA"/>
        </w:rPr>
        <w:t>若投标单位能满足此项要求，优先考虑。</w:t>
      </w:r>
    </w:p>
    <w:p>
      <w:pPr>
        <w:autoSpaceDE w:val="0"/>
        <w:autoSpaceDN w:val="0"/>
        <w:adjustRightInd w:val="0"/>
        <w:spacing w:before="35" w:line="317" w:lineRule="auto"/>
        <w:ind w:left="0" w:right="4177"/>
        <w:jc w:val="left"/>
        <w:rPr>
          <w:rFonts w:hint="eastAsia" w:ascii="黑体" w:hAnsi="Times New Roman" w:eastAsia="黑体" w:cs="黑体"/>
          <w:kern w:val="0"/>
          <w:sz w:val="24"/>
          <w:szCs w:val="24"/>
          <w:lang w:eastAsia="zh-CN"/>
        </w:rPr>
      </w:pPr>
      <w:r>
        <w:rPr>
          <w:rFonts w:hint="eastAsia" w:ascii="黑体" w:hAnsi="Times New Roman" w:eastAsia="黑体" w:cs="黑体"/>
          <w:kern w:val="0"/>
          <w:sz w:val="24"/>
          <w:szCs w:val="24"/>
        </w:rPr>
        <w:t>三、</w:t>
      </w:r>
      <w:r>
        <w:rPr>
          <w:rFonts w:hint="eastAsia" w:ascii="黑体" w:hAnsi="Times New Roman" w:eastAsia="黑体" w:cs="黑体"/>
          <w:kern w:val="0"/>
          <w:sz w:val="24"/>
          <w:szCs w:val="24"/>
          <w:lang w:eastAsia="zh-CN"/>
        </w:rPr>
        <w:t>供应商资格要求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（一）投标人须具有独立法人资格及履行本项目的能力，具有独立承担民事责任能力；须具有本项目相关的经营范围，提供营业执照副本原件复印件，及其商事主体网页查询截图（含基本信息及许可经营信息页，加盖公章）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（二）投标人法人证书及法人身份证复印件；被委托人投标报名的，须额外提供法人代表授权书及被委托人身份证复印件；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  <w:t>（三）投标人须具有输变电工程专业承包（三级及以上）或电力工程施工总承包（三级及以上）资质，同时具有承装（修、试）电力设施许可证四级及以上；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  <w:t>（四）投标人须具有建设行政主管部门颁发的安全生产许可证；</w:t>
      </w:r>
    </w:p>
    <w:p>
      <w:pPr>
        <w:autoSpaceDE w:val="0"/>
        <w:autoSpaceDN w:val="0"/>
        <w:adjustRightInd w:val="0"/>
        <w:spacing w:line="352" w:lineRule="exact"/>
        <w:ind w:left="0" w:right="62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highlight w:val="none"/>
          <w:lang w:eastAsia="zh-CN"/>
        </w:rPr>
        <w:t>（五）投标人须具有高低压电气设备运维托管类业绩（提供合同扫描件）；</w:t>
      </w:r>
    </w:p>
    <w:p>
      <w:pPr>
        <w:pStyle w:val="4"/>
        <w:numPr>
          <w:ilvl w:val="0"/>
          <w:numId w:val="0"/>
        </w:numPr>
        <w:autoSpaceDE w:val="0"/>
        <w:autoSpaceDN w:val="0"/>
        <w:adjustRightInd w:val="0"/>
        <w:spacing w:line="352" w:lineRule="exact"/>
        <w:ind w:left="0" w:leftChars="0" w:right="62" w:rightChars="0" w:firstLine="0" w:firstLineChars="0"/>
        <w:jc w:val="left"/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</w:pP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  <w:lang w:eastAsia="zh-CN"/>
        </w:rPr>
        <w:t>（六）</w:t>
      </w:r>
      <w:r>
        <w:rPr>
          <w:rFonts w:hint="eastAsia" w:ascii="仿宋_GB2312" w:hAnsi="Times New Roman" w:eastAsia="仿宋_GB2312" w:cs="仿宋_GB2312"/>
          <w:spacing w:val="2"/>
          <w:kern w:val="0"/>
          <w:position w:val="0"/>
          <w:sz w:val="24"/>
          <w:szCs w:val="24"/>
        </w:rPr>
        <w:t>本项目不接受联合体投标，不允许分包、转包。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02132"/>
    <w:multiLevelType w:val="multilevel"/>
    <w:tmpl w:val="2D402132"/>
    <w:lvl w:ilvl="0" w:tentative="0">
      <w:start w:val="1"/>
      <w:numFmt w:val="japaneseCounting"/>
      <w:lvlText w:val="%1、"/>
      <w:lvlJc w:val="left"/>
      <w:pPr>
        <w:ind w:left="1241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01" w:hanging="420"/>
      </w:pPr>
    </w:lvl>
    <w:lvl w:ilvl="2" w:tentative="0">
      <w:start w:val="1"/>
      <w:numFmt w:val="lowerRoman"/>
      <w:lvlText w:val="%3."/>
      <w:lvlJc w:val="right"/>
      <w:pPr>
        <w:ind w:left="2021" w:hanging="420"/>
      </w:pPr>
    </w:lvl>
    <w:lvl w:ilvl="3" w:tentative="0">
      <w:start w:val="1"/>
      <w:numFmt w:val="decimal"/>
      <w:lvlText w:val="%4."/>
      <w:lvlJc w:val="left"/>
      <w:pPr>
        <w:ind w:left="2441" w:hanging="420"/>
      </w:pPr>
    </w:lvl>
    <w:lvl w:ilvl="4" w:tentative="0">
      <w:start w:val="1"/>
      <w:numFmt w:val="lowerLetter"/>
      <w:lvlText w:val="%5)"/>
      <w:lvlJc w:val="left"/>
      <w:pPr>
        <w:ind w:left="2861" w:hanging="420"/>
      </w:pPr>
    </w:lvl>
    <w:lvl w:ilvl="5" w:tentative="0">
      <w:start w:val="1"/>
      <w:numFmt w:val="lowerRoman"/>
      <w:lvlText w:val="%6."/>
      <w:lvlJc w:val="right"/>
      <w:pPr>
        <w:ind w:left="3281" w:hanging="420"/>
      </w:pPr>
    </w:lvl>
    <w:lvl w:ilvl="6" w:tentative="0">
      <w:start w:val="1"/>
      <w:numFmt w:val="decimal"/>
      <w:lvlText w:val="%7."/>
      <w:lvlJc w:val="left"/>
      <w:pPr>
        <w:ind w:left="3701" w:hanging="420"/>
      </w:pPr>
    </w:lvl>
    <w:lvl w:ilvl="7" w:tentative="0">
      <w:start w:val="1"/>
      <w:numFmt w:val="lowerLetter"/>
      <w:lvlText w:val="%8)"/>
      <w:lvlJc w:val="left"/>
      <w:pPr>
        <w:ind w:left="4121" w:hanging="420"/>
      </w:pPr>
    </w:lvl>
    <w:lvl w:ilvl="8" w:tentative="0">
      <w:start w:val="1"/>
      <w:numFmt w:val="lowerRoman"/>
      <w:lvlText w:val="%9."/>
      <w:lvlJc w:val="right"/>
      <w:pPr>
        <w:ind w:left="45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72ADF"/>
    <w:rsid w:val="030B5A04"/>
    <w:rsid w:val="1CAA014E"/>
    <w:rsid w:val="7E57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2020-10-19T01:34:00Z</dcterms:created>
  <dc:creator>6⃣️1⃣️</dc:creator>
  <cp:lastModifiedBy>黄要</cp:lastModifiedBy>
  <dcterms:modified xsi:type="dcterms:W3CDTF">2020-10-19T07:51:25Z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