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宋体" w:hAnsi="宋体" w:cs="宋体"/>
          <w:bCs/>
          <w:sz w:val="44"/>
          <w:szCs w:val="44"/>
          <w:highlight w:val="none"/>
          <w:lang w:val="en-US" w:eastAsia="zh-CN"/>
        </w:rPr>
      </w:pPr>
      <w:bookmarkStart w:id="1" w:name="_GoBack"/>
      <w:r>
        <w:rPr>
          <w:rFonts w:hint="eastAsia" w:ascii="宋体" w:hAnsi="宋体" w:eastAsia="宋体" w:cs="宋体"/>
          <w:bCs/>
          <w:sz w:val="44"/>
          <w:szCs w:val="44"/>
          <w:highlight w:val="none"/>
        </w:rPr>
        <w:t>光明文艺中心图书馆RFID安全门</w:t>
      </w:r>
      <w:r>
        <w:rPr>
          <w:rFonts w:hint="eastAsia" w:ascii="宋体" w:hAnsi="宋体" w:cs="宋体"/>
          <w:bCs/>
          <w:sz w:val="44"/>
          <w:szCs w:val="44"/>
          <w:highlight w:val="none"/>
          <w:lang w:val="en-US" w:eastAsia="zh-CN"/>
        </w:rPr>
        <w:t>采购需求</w:t>
      </w:r>
    </w:p>
    <w:bookmarkEnd w:id="1"/>
    <w:p>
      <w:pPr>
        <w:spacing w:line="578"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一、采购项目概况</w:t>
      </w:r>
    </w:p>
    <w:p>
      <w:pPr>
        <w:spacing w:line="578" w:lineRule="exact"/>
        <w:jc w:val="left"/>
        <w:rPr>
          <w:rFonts w:hint="default" w:ascii="仿宋" w:hAnsi="仿宋" w:eastAsia="仿宋" w:cs="仿宋_GB2312"/>
          <w:sz w:val="32"/>
          <w:szCs w:val="32"/>
          <w:highlight w:val="none"/>
          <w:lang w:val="en-US" w:eastAsia="zh-CN"/>
        </w:rPr>
      </w:pPr>
      <w:bookmarkStart w:id="0" w:name="_Hlk47626645"/>
      <w:r>
        <w:rPr>
          <w:rFonts w:hint="eastAsia" w:ascii="仿宋" w:hAnsi="仿宋" w:eastAsia="仿宋" w:cs="仿宋_GB2312"/>
          <w:sz w:val="32"/>
          <w:szCs w:val="32"/>
          <w:highlight w:val="none"/>
        </w:rPr>
        <w:t>项目</w:t>
      </w:r>
      <w:bookmarkEnd w:id="0"/>
      <w:r>
        <w:rPr>
          <w:rFonts w:hint="eastAsia" w:ascii="仿宋" w:hAnsi="仿宋" w:eastAsia="仿宋" w:cs="仿宋_GB2312"/>
          <w:sz w:val="32"/>
          <w:szCs w:val="32"/>
          <w:highlight w:val="none"/>
        </w:rPr>
        <w:t>名称：光明</w:t>
      </w:r>
      <w:r>
        <w:rPr>
          <w:rFonts w:hint="eastAsia" w:ascii="仿宋" w:hAnsi="仿宋" w:eastAsia="仿宋" w:cs="仿宋_GB2312"/>
          <w:sz w:val="32"/>
          <w:szCs w:val="32"/>
          <w:highlight w:val="none"/>
          <w:lang w:val="en-US" w:eastAsia="zh-CN"/>
        </w:rPr>
        <w:t>文艺中心图书馆RFID安全门采购项目</w:t>
      </w:r>
    </w:p>
    <w:p>
      <w:pPr>
        <w:spacing w:line="578" w:lineRule="exact"/>
        <w:jc w:val="left"/>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rPr>
        <w:t>项目预算：</w:t>
      </w:r>
      <w:r>
        <w:rPr>
          <w:rFonts w:hint="eastAsia" w:ascii="仿宋" w:hAnsi="仿宋" w:eastAsia="仿宋" w:cs="仿宋_GB2312"/>
          <w:sz w:val="32"/>
          <w:szCs w:val="32"/>
          <w:highlight w:val="none"/>
          <w:lang w:val="en-US" w:eastAsia="zh-CN"/>
        </w:rPr>
        <w:t>21</w:t>
      </w:r>
      <w:r>
        <w:rPr>
          <w:rFonts w:hint="eastAsia" w:ascii="仿宋" w:hAnsi="仿宋" w:eastAsia="仿宋" w:cs="仿宋_GB2312"/>
          <w:sz w:val="32"/>
          <w:szCs w:val="32"/>
          <w:highlight w:val="none"/>
        </w:rPr>
        <w:t>万元</w:t>
      </w:r>
      <w:r>
        <w:rPr>
          <w:rFonts w:hint="eastAsia" w:ascii="仿宋" w:hAnsi="仿宋" w:eastAsia="仿宋" w:cs="仿宋_GB2312"/>
          <w:sz w:val="32"/>
          <w:szCs w:val="32"/>
          <w:highlight w:val="none"/>
          <w:lang w:val="en-US" w:eastAsia="zh-CN"/>
        </w:rPr>
        <w:t>（报价高于21万以上无效）</w:t>
      </w:r>
    </w:p>
    <w:p>
      <w:pPr>
        <w:spacing w:line="578" w:lineRule="exact"/>
        <w:jc w:val="left"/>
        <w:rPr>
          <w:rFonts w:hint="default" w:ascii="仿宋" w:hAnsi="仿宋" w:eastAsia="仿宋" w:cs="仿宋_GB2312"/>
          <w:sz w:val="32"/>
          <w:szCs w:val="32"/>
          <w:lang w:val="en-US" w:eastAsia="zh-CN"/>
        </w:rPr>
      </w:pPr>
      <w:r>
        <w:rPr>
          <w:rFonts w:ascii="仿宋" w:hAnsi="仿宋" w:eastAsia="仿宋" w:cs="仿宋_GB2312"/>
          <w:sz w:val="32"/>
          <w:szCs w:val="32"/>
          <w:highlight w:val="none"/>
        </w:rPr>
        <w:t>项目介绍</w:t>
      </w:r>
      <w:r>
        <w:rPr>
          <w:rFonts w:hint="eastAsia" w:ascii="仿宋" w:hAnsi="仿宋" w:eastAsia="仿宋" w:cs="仿宋_GB2312"/>
          <w:sz w:val="32"/>
          <w:szCs w:val="32"/>
          <w:highlight w:val="none"/>
        </w:rPr>
        <w:t>：光明</w:t>
      </w:r>
      <w:r>
        <w:rPr>
          <w:rFonts w:hint="eastAsia" w:ascii="仿宋" w:hAnsi="仿宋" w:eastAsia="仿宋" w:cs="仿宋_GB2312"/>
          <w:sz w:val="32"/>
          <w:szCs w:val="32"/>
          <w:highlight w:val="none"/>
          <w:lang w:val="en-US" w:eastAsia="zh-CN"/>
        </w:rPr>
        <w:t>文艺中心图书馆为新馆，现采购20扇RFID门禁用于</w:t>
      </w:r>
      <w:r>
        <w:rPr>
          <w:rFonts w:hint="eastAsia" w:ascii="仿宋" w:hAnsi="仿宋" w:eastAsia="仿宋" w:cs="仿宋_GB2312"/>
          <w:sz w:val="32"/>
          <w:szCs w:val="32"/>
          <w:highlight w:val="none"/>
        </w:rPr>
        <w:t>光明</w:t>
      </w:r>
      <w:r>
        <w:rPr>
          <w:rFonts w:hint="eastAsia" w:ascii="仿宋" w:hAnsi="仿宋" w:eastAsia="仿宋" w:cs="仿宋_GB2312"/>
          <w:sz w:val="32"/>
          <w:szCs w:val="32"/>
          <w:highlight w:val="none"/>
          <w:lang w:val="en-US" w:eastAsia="zh-CN"/>
        </w:rPr>
        <w:t>文艺中心图书馆</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，以保障图书馆日常工作需要。</w:t>
      </w:r>
    </w:p>
    <w:p>
      <w:pPr>
        <w:spacing w:line="578" w:lineRule="exact"/>
        <w:rPr>
          <w:rFonts w:ascii="黑体" w:hAnsi="黑体" w:eastAsia="黑体" w:cs="黑体"/>
          <w:sz w:val="32"/>
          <w:szCs w:val="32"/>
        </w:rPr>
      </w:pPr>
      <w:r>
        <w:rPr>
          <w:rFonts w:hint="eastAsia" w:ascii="黑体" w:hAnsi="黑体" w:eastAsia="黑体" w:cs="黑体"/>
          <w:sz w:val="32"/>
          <w:szCs w:val="32"/>
        </w:rPr>
        <w:t>二、项目服务要求</w:t>
      </w:r>
    </w:p>
    <w:p>
      <w:pPr>
        <w:spacing w:line="56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1、与图书馆现有的图书管理软件实现无缝对接。</w:t>
      </w:r>
    </w:p>
    <w:p>
      <w:pPr>
        <w:spacing w:line="56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安全门外壳材料：透明亚克力材质，环境适应性强；安全门系统设备可对粘贴有RFID标签的流通资料进行扫描、安全识别，用于流通部门对流通资料的进行安全控制，以达到防盗和监控的目的。该设备系统通过对贴身携带以及装入背包内的文献状态（是否办理借阅手续）进行判别，以达到防盗和监控的目的。要求设备安全可靠，坚固耐用，美观大方。</w:t>
      </w:r>
    </w:p>
    <w:p>
      <w:pPr>
        <w:spacing w:line="5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3、支持二次开发和客户定制。</w:t>
      </w:r>
    </w:p>
    <w:p>
      <w:pPr>
        <w:spacing w:line="56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4、支持单通道独立工作和多通道并列工作。</w:t>
      </w:r>
    </w:p>
    <w:p>
      <w:pPr>
        <w:spacing w:line="56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5、支持RS232/RS485、TCP/IP接口（选配）、支持设备远程集中配置管理</w:t>
      </w:r>
    </w:p>
    <w:p>
      <w:pPr>
        <w:spacing w:line="5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6、设备免费保修三年。</w:t>
      </w:r>
    </w:p>
    <w:p>
      <w:pPr>
        <w:spacing w:line="560" w:lineRule="exact"/>
        <w:rPr>
          <w:rFonts w:hint="eastAsia" w:ascii="黑体" w:hAnsi="黑体" w:eastAsia="黑体" w:cs="仿宋"/>
          <w:color w:val="auto"/>
          <w:sz w:val="32"/>
          <w:szCs w:val="32"/>
        </w:rPr>
      </w:pPr>
      <w:r>
        <w:rPr>
          <w:rFonts w:hint="eastAsia" w:ascii="黑体" w:hAnsi="黑体" w:eastAsia="黑体" w:cs="黑体"/>
          <w:color w:val="auto"/>
          <w:sz w:val="32"/>
          <w:szCs w:val="32"/>
        </w:rPr>
        <w:t>三</w:t>
      </w:r>
      <w:r>
        <w:rPr>
          <w:rFonts w:hint="eastAsia" w:ascii="黑体" w:hAnsi="黑体" w:eastAsia="黑体" w:cs="仿宋"/>
          <w:color w:val="auto"/>
          <w:sz w:val="32"/>
          <w:szCs w:val="32"/>
        </w:rPr>
        <w:t>、供应商资格要求</w:t>
      </w:r>
    </w:p>
    <w:p>
      <w:pPr>
        <w:widowControl/>
        <w:spacing w:line="560" w:lineRule="exact"/>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具有独立法人资格且经营范围须包含射频识别系统及产品资质（提供合法有效的营业执照原件扫描件，原件备查；如深圳企业营业执照未反映经营范围，须提供深圳市市场监督管理局网站关于供应商经营范围查询结果的截图）；</w:t>
      </w:r>
    </w:p>
    <w:p>
      <w:pPr>
        <w:spacing w:line="560" w:lineRule="exact"/>
        <w:rPr>
          <w:rFonts w:hint="eastAsia" w:ascii="黑体" w:hAnsi="黑体" w:eastAsia="黑体" w:cs="仿宋"/>
          <w:color w:val="auto"/>
          <w:sz w:val="32"/>
          <w:szCs w:val="32"/>
        </w:rPr>
      </w:pPr>
      <w:r>
        <w:rPr>
          <w:rFonts w:hint="eastAsia" w:ascii="黑体" w:hAnsi="黑体" w:eastAsia="黑体" w:cs="仿宋"/>
          <w:color w:val="auto"/>
          <w:sz w:val="32"/>
          <w:szCs w:val="32"/>
        </w:rPr>
        <w:t>四、评标定标方法</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本项目采用综合评分法，得分最高的供应商即为中选供应商。定标结果由</w:t>
      </w:r>
      <w:r>
        <w:rPr>
          <w:rFonts w:hint="eastAsia" w:ascii="仿宋_GB2312" w:hAnsi="仿宋_GB2312" w:eastAsia="仿宋_GB2312" w:cs="仿宋_GB2312"/>
          <w:bCs/>
          <w:sz w:val="32"/>
          <w:szCs w:val="32"/>
          <w:highlight w:val="none"/>
        </w:rPr>
        <w:t>光明区</w:t>
      </w:r>
      <w:r>
        <w:rPr>
          <w:rFonts w:hint="eastAsia" w:ascii="仿宋_GB2312" w:hAnsi="仿宋_GB2312" w:eastAsia="仿宋_GB2312" w:cs="仿宋_GB2312"/>
          <w:bCs/>
          <w:sz w:val="32"/>
          <w:szCs w:val="32"/>
          <w:highlight w:val="none"/>
          <w:lang w:val="en-US" w:eastAsia="zh-CN"/>
        </w:rPr>
        <w:t>公共文化艺术发展中心信息系统渗透服务</w:t>
      </w:r>
      <w:r>
        <w:rPr>
          <w:rFonts w:hint="eastAsia" w:ascii="仿宋_GB2312" w:hAnsi="仿宋_GB2312" w:eastAsia="仿宋_GB2312" w:cs="仿宋_GB2312"/>
          <w:color w:val="auto"/>
          <w:sz w:val="32"/>
          <w:szCs w:val="32"/>
        </w:rPr>
        <w:t>采购需求项目采购小组通过中心行政办公会议后共同评审、商定。</w:t>
      </w:r>
    </w:p>
    <w:p>
      <w:pPr>
        <w:spacing w:line="578" w:lineRule="exact"/>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、商务需求</w:t>
      </w:r>
    </w:p>
    <w:p>
      <w:pPr>
        <w:spacing w:line="578" w:lineRule="exact"/>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（一）服务时间：</w:t>
      </w:r>
      <w:r>
        <w:rPr>
          <w:rFonts w:hint="eastAsia" w:ascii="仿宋" w:hAnsi="仿宋" w:eastAsia="仿宋" w:cs="仿宋_GB2312"/>
          <w:color w:val="auto"/>
          <w:sz w:val="32"/>
          <w:szCs w:val="32"/>
          <w:lang w:val="en-US" w:eastAsia="zh-CN"/>
        </w:rPr>
        <w:t>合同签订之日起</w:t>
      </w:r>
    </w:p>
    <w:p>
      <w:pPr>
        <w:spacing w:line="578"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（二）交付地点：</w:t>
      </w:r>
      <w:r>
        <w:rPr>
          <w:rFonts w:hint="eastAsia" w:ascii="仿宋_GB2312" w:hAnsi="仿宋_GB2312" w:eastAsia="仿宋_GB2312" w:cs="仿宋_GB2312"/>
          <w:bCs/>
          <w:sz w:val="32"/>
          <w:szCs w:val="32"/>
          <w:highlight w:val="none"/>
        </w:rPr>
        <w:t>光明区</w:t>
      </w:r>
      <w:r>
        <w:rPr>
          <w:rFonts w:hint="eastAsia" w:ascii="仿宋_GB2312" w:hAnsi="仿宋_GB2312" w:eastAsia="仿宋_GB2312" w:cs="仿宋_GB2312"/>
          <w:bCs/>
          <w:sz w:val="32"/>
          <w:szCs w:val="32"/>
          <w:highlight w:val="none"/>
          <w:lang w:val="en-US" w:eastAsia="zh-CN"/>
        </w:rPr>
        <w:t>公共文化艺术发展中心</w:t>
      </w:r>
    </w:p>
    <w:p>
      <w:pPr>
        <w:spacing w:line="578"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（三）报价要求：</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仿宋" w:eastAsia="仿宋_GB2312" w:cs="仿宋"/>
          <w:color w:val="auto"/>
          <w:sz w:val="32"/>
          <w:szCs w:val="32"/>
        </w:rPr>
        <w:t>投标供应商的报价</w:t>
      </w:r>
      <w:r>
        <w:rPr>
          <w:rFonts w:hint="eastAsia" w:ascii="仿宋_GB2312" w:hAnsi="Times New Roman" w:eastAsia="仿宋_GB2312" w:cs="Times New Roman"/>
          <w:color w:val="auto"/>
          <w:sz w:val="32"/>
          <w:szCs w:val="32"/>
        </w:rPr>
        <w:t>不得高于项目预算。</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仿宋_GB2312" w:eastAsia="仿宋_GB2312" w:cs="仿宋_GB2312"/>
          <w:sz w:val="32"/>
          <w:szCs w:val="32"/>
        </w:rPr>
        <w:t>本项目服务费采用包干制，应包括服务成本、法定税费和企业的利润。</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4.提交报价人员</w:t>
      </w:r>
      <w:r>
        <w:rPr>
          <w:rFonts w:hint="eastAsia" w:ascii="仿宋_GB2312" w:hAnsi="仿宋" w:eastAsia="仿宋_GB2312" w:cs="仿宋"/>
          <w:color w:val="auto"/>
          <w:sz w:val="32"/>
          <w:szCs w:val="32"/>
          <w:lang w:eastAsia="zh-CN"/>
        </w:rPr>
        <w:t>如非法定代表人，则</w:t>
      </w:r>
      <w:r>
        <w:rPr>
          <w:rFonts w:hint="eastAsia" w:ascii="仿宋_GB2312" w:hAnsi="仿宋" w:eastAsia="仿宋_GB2312" w:cs="仿宋"/>
          <w:color w:val="auto"/>
          <w:sz w:val="32"/>
          <w:szCs w:val="32"/>
        </w:rPr>
        <w:t>需法定代表人提供授权委托证明</w:t>
      </w:r>
      <w:r>
        <w:rPr>
          <w:rFonts w:hint="eastAsia" w:ascii="仿宋_GB2312" w:hAnsi="仿宋" w:eastAsia="仿宋_GB2312" w:cs="仿宋"/>
          <w:color w:val="auto"/>
          <w:sz w:val="32"/>
          <w:szCs w:val="32"/>
          <w:lang w:eastAsia="zh-CN"/>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rPr>
          <w:rFonts w:ascii="仿宋_GB2312" w:hAnsi="仿宋" w:eastAsia="仿宋_GB2312" w:cs="仿宋"/>
          <w:color w:val="auto"/>
          <w:sz w:val="32"/>
          <w:szCs w:val="32"/>
        </w:rPr>
      </w:pPr>
      <w:r>
        <w:rPr>
          <w:rFonts w:hint="eastAsia" w:ascii="仿宋_GB2312" w:hAnsi="Times New Roman" w:eastAsia="仿宋_GB2312" w:cs="Times New Roman"/>
          <w:color w:val="auto"/>
          <w:sz w:val="32"/>
          <w:szCs w:val="32"/>
        </w:rPr>
        <w:t>（四）</w:t>
      </w:r>
      <w:r>
        <w:rPr>
          <w:rFonts w:hint="eastAsia" w:ascii="仿宋_GB2312" w:hAnsi="仿宋" w:eastAsia="仿宋_GB2312" w:cs="仿宋"/>
          <w:color w:val="auto"/>
          <w:sz w:val="32"/>
          <w:szCs w:val="32"/>
        </w:rPr>
        <w:t>违约责任：供应商未按照合同约定完成服务内容，应向采购方返还已收取的服务总费用，并向采购方支付服务总费用20%的违约金。</w:t>
      </w:r>
    </w:p>
    <w:p>
      <w:pPr>
        <w:spacing w:line="560" w:lineRule="exact"/>
        <w:rPr>
          <w:rFonts w:hint="eastAsia" w:ascii="仿宋_GB2312" w:hAnsi="Times New Roman" w:eastAsia="仿宋_GB2312" w:cs="Times New Roman"/>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五</w:t>
      </w:r>
      <w:r>
        <w:rPr>
          <w:rFonts w:hint="eastAsia" w:ascii="仿宋_GB2312" w:hAnsi="仿宋" w:eastAsia="仿宋_GB2312" w:cs="仿宋"/>
          <w:color w:val="auto"/>
          <w:sz w:val="32"/>
          <w:szCs w:val="32"/>
        </w:rPr>
        <w:t>）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jc w:val="center"/>
        <w:rPr>
          <w:rFonts w:hint="eastAsia" w:eastAsia="宋体"/>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54FE"/>
    <w:rsid w:val="00C517C4"/>
    <w:rsid w:val="01427780"/>
    <w:rsid w:val="01D8045F"/>
    <w:rsid w:val="032C17C4"/>
    <w:rsid w:val="044E011D"/>
    <w:rsid w:val="04CF3C1F"/>
    <w:rsid w:val="06986E51"/>
    <w:rsid w:val="08D31306"/>
    <w:rsid w:val="09831197"/>
    <w:rsid w:val="0DBE61DE"/>
    <w:rsid w:val="0E562194"/>
    <w:rsid w:val="103747C3"/>
    <w:rsid w:val="107C1B48"/>
    <w:rsid w:val="11657F37"/>
    <w:rsid w:val="125B1CBF"/>
    <w:rsid w:val="138E37D9"/>
    <w:rsid w:val="139115C4"/>
    <w:rsid w:val="139F121D"/>
    <w:rsid w:val="14666F5E"/>
    <w:rsid w:val="15647EF7"/>
    <w:rsid w:val="173567F3"/>
    <w:rsid w:val="17AD281A"/>
    <w:rsid w:val="1855208A"/>
    <w:rsid w:val="1A550B4A"/>
    <w:rsid w:val="1A740595"/>
    <w:rsid w:val="1A885306"/>
    <w:rsid w:val="1CF3499F"/>
    <w:rsid w:val="1D1F0921"/>
    <w:rsid w:val="1D3D1B55"/>
    <w:rsid w:val="1ED83063"/>
    <w:rsid w:val="1F373CBC"/>
    <w:rsid w:val="20575070"/>
    <w:rsid w:val="20695429"/>
    <w:rsid w:val="214624B7"/>
    <w:rsid w:val="234C55D5"/>
    <w:rsid w:val="24ED175F"/>
    <w:rsid w:val="250916C1"/>
    <w:rsid w:val="25F97FE1"/>
    <w:rsid w:val="27066EED"/>
    <w:rsid w:val="288428AF"/>
    <w:rsid w:val="289D3153"/>
    <w:rsid w:val="28B32791"/>
    <w:rsid w:val="297D7CF0"/>
    <w:rsid w:val="29C84CE2"/>
    <w:rsid w:val="2DF07EB9"/>
    <w:rsid w:val="312E29DC"/>
    <w:rsid w:val="32250C73"/>
    <w:rsid w:val="338B75F5"/>
    <w:rsid w:val="34480BB1"/>
    <w:rsid w:val="35C37C1D"/>
    <w:rsid w:val="360534A7"/>
    <w:rsid w:val="36763E66"/>
    <w:rsid w:val="36FA3193"/>
    <w:rsid w:val="370740C0"/>
    <w:rsid w:val="38792EBF"/>
    <w:rsid w:val="39765D53"/>
    <w:rsid w:val="3B0B24D7"/>
    <w:rsid w:val="3FE95E2E"/>
    <w:rsid w:val="4207292E"/>
    <w:rsid w:val="42462B92"/>
    <w:rsid w:val="42846315"/>
    <w:rsid w:val="43DC0A62"/>
    <w:rsid w:val="46480809"/>
    <w:rsid w:val="47EE2E84"/>
    <w:rsid w:val="48665D29"/>
    <w:rsid w:val="49B91625"/>
    <w:rsid w:val="4AC8523D"/>
    <w:rsid w:val="4B814DBB"/>
    <w:rsid w:val="4DC755EE"/>
    <w:rsid w:val="4E2E6085"/>
    <w:rsid w:val="4F6A7264"/>
    <w:rsid w:val="50CF1C95"/>
    <w:rsid w:val="519F7282"/>
    <w:rsid w:val="51AC7357"/>
    <w:rsid w:val="51E814B5"/>
    <w:rsid w:val="53D051F2"/>
    <w:rsid w:val="544366D7"/>
    <w:rsid w:val="56BA09AE"/>
    <w:rsid w:val="57297F4F"/>
    <w:rsid w:val="586E13E6"/>
    <w:rsid w:val="58F41C69"/>
    <w:rsid w:val="59966E6F"/>
    <w:rsid w:val="5C1B5B05"/>
    <w:rsid w:val="5C5B02FD"/>
    <w:rsid w:val="5D166FE0"/>
    <w:rsid w:val="5DC76932"/>
    <w:rsid w:val="5E0822D5"/>
    <w:rsid w:val="5EDE6A2C"/>
    <w:rsid w:val="5F6A1FF1"/>
    <w:rsid w:val="605A1271"/>
    <w:rsid w:val="611976D1"/>
    <w:rsid w:val="62DF25EB"/>
    <w:rsid w:val="64BB583B"/>
    <w:rsid w:val="66431B26"/>
    <w:rsid w:val="6647447C"/>
    <w:rsid w:val="67FC4779"/>
    <w:rsid w:val="69027119"/>
    <w:rsid w:val="697A2E34"/>
    <w:rsid w:val="69F95C4F"/>
    <w:rsid w:val="6B937CCB"/>
    <w:rsid w:val="6EF23617"/>
    <w:rsid w:val="71D7337C"/>
    <w:rsid w:val="72D04EE1"/>
    <w:rsid w:val="730E6C49"/>
    <w:rsid w:val="74D843AF"/>
    <w:rsid w:val="76B74F3F"/>
    <w:rsid w:val="77F320C3"/>
    <w:rsid w:val="791B405B"/>
    <w:rsid w:val="7A924968"/>
    <w:rsid w:val="7C844D47"/>
    <w:rsid w:val="7D170C3D"/>
    <w:rsid w:val="7D8A1FEF"/>
    <w:rsid w:val="7EF354FE"/>
    <w:rsid w:val="7F7A12BD"/>
    <w:rsid w:val="7F816CBA"/>
    <w:rsid w:val="7FF4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uiPriority w:val="0"/>
    <w:rPr>
      <w:rFonts w:ascii="微软雅黑" w:hAnsi="微软雅黑" w:eastAsia="微软雅黑" w:cs="微软雅黑"/>
      <w:color w:val="FF3300"/>
      <w:sz w:val="19"/>
      <w:szCs w:val="19"/>
      <w:u w:val="none"/>
      <w:bdr w:val="none" w:color="auto" w:sz="0" w:space="0"/>
    </w:rPr>
  </w:style>
  <w:style w:type="character" w:styleId="6">
    <w:name w:val="Emphasis"/>
    <w:basedOn w:val="3"/>
    <w:qFormat/>
    <w:uiPriority w:val="0"/>
  </w:style>
  <w:style w:type="character" w:styleId="7">
    <w:name w:val="Hyperlink"/>
    <w:basedOn w:val="3"/>
    <w:uiPriority w:val="0"/>
    <w:rPr>
      <w:rFonts w:hint="eastAsia" w:ascii="微软雅黑" w:hAnsi="微软雅黑" w:eastAsia="微软雅黑" w:cs="微软雅黑"/>
      <w:color w:val="535353"/>
      <w:sz w:val="19"/>
      <w:szCs w:val="19"/>
      <w:u w:val="none"/>
      <w:bdr w:val="none" w:color="auto" w:sz="0" w:space="0"/>
    </w:rPr>
  </w:style>
  <w:style w:type="paragraph" w:customStyle="1" w:styleId="8">
    <w:name w:val="List Paragraph"/>
    <w:basedOn w:val="1"/>
    <w:qFormat/>
    <w:uiPriority w:val="34"/>
    <w:pPr>
      <w:ind w:firstLine="420" w:firstLineChars="200"/>
    </w:pPr>
  </w:style>
  <w:style w:type="character" w:customStyle="1" w:styleId="9">
    <w:name w:val="layui-layer-tabnow"/>
    <w:basedOn w:val="3"/>
    <w:uiPriority w:val="0"/>
    <w:rPr>
      <w:bdr w:val="single" w:color="CCCCCC" w:sz="6" w:space="0"/>
      <w:shd w:val="clear" w:fill="FFFFFF"/>
    </w:rPr>
  </w:style>
  <w:style w:type="character" w:customStyle="1" w:styleId="10">
    <w:name w:val="first-child"/>
    <w:basedOn w:val="3"/>
    <w:uiPriority w:val="0"/>
    <w:rPr>
      <w:bdr w:val="none" w:color="auto" w:sz="0" w:space="0"/>
    </w:rPr>
  </w:style>
  <w:style w:type="character" w:customStyle="1" w:styleId="11">
    <w:name w:val="zcjy"/>
    <w:basedOn w:val="3"/>
    <w:uiPriority w:val="0"/>
    <w:rPr>
      <w:shd w:val="clear" w:fill="266EB4"/>
    </w:rPr>
  </w:style>
  <w:style w:type="character" w:customStyle="1" w:styleId="12">
    <w:name w:val="ydx"/>
    <w:basedOn w:val="3"/>
    <w:uiPriority w:val="0"/>
    <w:rPr>
      <w:shd w:val="clear" w:fill="CC66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 许德寿.</cp:lastModifiedBy>
  <dcterms:modified xsi:type="dcterms:W3CDTF">2020-10-26T08:35:58Z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