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autoSpaceDE w:val="0"/>
        <w:autoSpaceDN w:val="0"/>
        <w:adjustRightInd w:val="0"/>
        <w:ind w:right="-20"/>
        <w:jc w:val="center"/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光明区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eastAsia="zh-CN"/>
        </w:rPr>
        <w:t>图书馆七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en-US" w:eastAsia="zh-CN"/>
        </w:rPr>
        <w:t>楼档案室建设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项目采购需求</w:t>
      </w: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color w:val="000000"/>
          <w:kern w:val="0"/>
          <w:sz w:val="24"/>
          <w:szCs w:val="32"/>
          <w:lang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b/>
          <w:bCs/>
          <w:color w:val="000000"/>
          <w:kern w:val="0"/>
          <w:sz w:val="24"/>
          <w:szCs w:val="32"/>
          <w:lang w:eastAsia="zh-CN"/>
        </w:rPr>
        <w:t>一、项目概况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35" w:line="317" w:lineRule="auto"/>
        <w:ind w:right="84" w:rightChars="0" w:firstLine="488" w:firstLineChars="200"/>
        <w:jc w:val="left"/>
        <w:rPr>
          <w:rFonts w:hint="eastAsia" w:ascii="仿宋_GB2312" w:hAnsi="Times New Roman" w:eastAsia="仿宋_GB2312" w:cs="仿宋_GB2312"/>
          <w:color w:val="000000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由于光明区图书馆在建设时未设有档案室，随着场馆逐步开放，各类文档资料日益增多，为确保所有文档资料能够在档案室集中存放统一管理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，现按照档案室建设有关要求，对七楼密集书库进行档案室建设。档案室建设清单如下：</w:t>
      </w:r>
    </w:p>
    <w:p>
      <w:pPr>
        <w:autoSpaceDE w:val="0"/>
        <w:autoSpaceDN w:val="0"/>
        <w:adjustRightInd w:val="0"/>
        <w:spacing w:before="4" w:line="150" w:lineRule="exact"/>
        <w:jc w:val="left"/>
        <w:rPr>
          <w:rFonts w:ascii="黑体" w:hAnsi="Times New Roman" w:eastAsia="黑体" w:cs="黑体"/>
          <w:color w:val="000000"/>
          <w:kern w:val="0"/>
          <w:sz w:val="15"/>
          <w:szCs w:val="15"/>
        </w:rPr>
      </w:pPr>
    </w:p>
    <w:tbl>
      <w:tblPr>
        <w:tblStyle w:val="7"/>
        <w:tblpPr w:leftFromText="180" w:rightFromText="180" w:vertAnchor="text" w:horzAnchor="page" w:tblpX="1696" w:tblpY="397"/>
        <w:tblOverlap w:val="never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246"/>
        <w:gridCol w:w="183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计量单位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一、装修装饰分项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砌轻质砖墙（13.6mX4.6m，5mX5mX2，200厚）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墙面水泥批荡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墙面批腻子粉（立邦）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墙面油漆（立邦）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构造柱及圈梁钢筋制、安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t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浇C20混凝土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m3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模板支护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甲级单开防火门(900X2050)安装</w:t>
            </w: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（配锁）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封新风口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不锈钢黑金刚踢脚线（50）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二、照明、电气线路分项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管、线安装（含到档案管理室管、线），档案室内为镀锌线管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开关、插座安装（含底盒）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双绞线缆UTP6网线及线管PC20安装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  <w:tab w:val="center" w:pos="2015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灯具安装（防爆灯,1200）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墙凿孔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管、线喷漆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三、智能监测设备（红外报警、监控）分项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报警系统红外报警器（红外+声光+门磁+微波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红外报警主机（3.5寸触摸屏、触摸键盘、10国语言、100路防区。断电待机48h，含报警喇叭，APP集成应用（含短信告警、电话告警））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红外遥控器（红外100m）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监控系统摄像机：（工业级嵌入式微控制器；像机；</w:t>
            </w:r>
          </w:p>
          <w:p>
            <w:pPr>
              <w:tabs>
                <w:tab w:val="left" w:pos="62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支持H.265及H.264编码；最小照度：0.01Lux @(F1.2,AGC ON) ,0 Lux with IR；镜头：4mm, 水平视场角:90.3°(6mm,8mm,12mm可选)；帧率：50Hz: 25fps (1920 × 1080,1280 × 960,1280 × 720)；宽动态范围：120dB;感兴趣区域：ROI支持三码流分别设置1个固定区域；智能报警：越界侦测,区域入侵侦测,场景变更侦测,人脸侦测,虚焦侦测，物品遗留侦测,物品拾取侦测,非法停车侦测,人员聚集侦测,徘徊侦测,快速移动侦测,进入区域侦测,离开区域侦测；电源供应：DC12V±25% ；功耗：5.5W MAX；红外照射距离最远可达：30米； 支持智能后检索，配合NVR支持事件的二次检索分析；存储功能：支持Micro SD(即TF卡)/Micro SDHC/Micro SDXC卡(128G)断网本地存储,NAS(NFS,SMB/CIFS均支持) ；快门：1/3秒至1/100,000秒；工作温度和湿度：-30℃~60℃,湿度小于95%(无凝结)；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存储平台：工业级嵌入式微控制器；嵌入式Linux实时操作系统；网络协议IPv4、IPv6、HTTP、NTP、DNS、ONVIF；前智能支持；后智能不支持；网络带宽接入64Mbps,储存64Mbps,转发64Mbps；网络视频接入8路；IPC分辨率4K/6M/5M/4M/3M/1080P/1.3M/720P；解码能力2×4K/4×4M/8×1080P/16×720P；1路VGA，1路HDMI，支持VGA/HDMI视频同源输出；最大支持8路回放；视频压缩标准H265/H.264；4个内置SATA接口，支持10T、SSD；2个千兆以太网口；1个前置USB2.0接口/1个后置USB3.0接口；1路,支持IPC音频输入/1路,支持语音对讲输出；报警接口8进2出，其中1路继电器输出，1路12V1A ctrl输出；1个RS-232/1个RS-485；1个电源接口，AC90V~264V 50+2% Hz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监控系统主机： 存储时间不少于三个月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监控监视器：22英寸、工业级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监控传输设备：POE供电、2*10G SFP+、8*10/100/1000M自适应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四、气体消防分项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贮存装置（海烙，柜式七氟丙烷带药剂，GQQ180/2.5-QL）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泄压装置（海烙，SAXD-0.25-J）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气体灭火主机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（海烙FS5092/2-1）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放气指示灯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紧急启/停按钮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手动/自动切换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声光报警器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消防警铃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点型探测器(赋安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烟感)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点型探测器（赋安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温感）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系统软件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模块(赋安)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模块箱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（赋安）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配管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凿(压)槽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配线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五、拆除分项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水喷淋钢管（保护性拆除）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水喷淋(雾)喷头（保护性拆除）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管道支架（保护性拆除）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碳钢通风管道（保护性拆除）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m²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百叶风口（保护性拆除）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六、通风分项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碳钢通风管道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m²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百叶风口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七、设备购置分项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温湿度仪（华汉维TH40W-E）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抽湿机（松下F-YCJ17C-X）(10-17L/D)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八、档案整理室设备采购清单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防磁柜：规格:(H)1800*(W)700*(D)500 mm重量:120KG配置: 9个抽屉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抽屉尺寸(H)100*(W)526*(D)354mm（(H)150*(W)560*(D)340mm）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有效空间：(H)175*(W)526*(D)354mm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产品依据QTC56-19-2008《防火防磁柜试验大纲》标准，通过防磁检测。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产品通过欧盟CE认证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left"/>
              <w:rPr>
                <w:rFonts w:hint="default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隔断移动屏风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left"/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35" w:line="317" w:lineRule="auto"/>
        <w:ind w:left="0" w:right="4177" w:firstLine="0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技术要求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（一）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项目施工贯彻执行各项技术政策、技术规程、规范、标准和技术管理制度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按照现行的国家施工规范进行严格施工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；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承包人采购的所有与工程有关的原材料（含半成品、成品）及设备、配件等，其质量必须符合相应的国家优等品产品标准，必须有产品合格证书。承包人在这些材料的订购和自采加工之前，应取得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采购方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同意和批准，必要时应附有材料的样品及其材质和使用的有关说明；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（三）投标方提供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施工总平面布置图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、施工方案；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（四）按照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安全管理体系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、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文明施工、环境保护管理体系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要求进行施工；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（五）做好现场成品保护，原有临时拆除设备设施进行正常恢复。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ab/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hAnsi="Times New Roman" w:cs="仿宋_GB2312"/>
          <w:spacing w:val="2"/>
          <w:kern w:val="0"/>
          <w:position w:val="0"/>
          <w:sz w:val="24"/>
          <w:szCs w:val="24"/>
          <w:lang w:val="en-US" w:eastAsia="zh-CN"/>
        </w:rPr>
        <w:t>（六）点型探测器通过火源排放的气体、温度感知报警信号，信号传达至气体灭火主机</w:t>
      </w:r>
      <w:r>
        <w:rPr>
          <w:rFonts w:hint="eastAsia" w:hAnsi="Times New Roman" w:cs="仿宋_GB2312"/>
          <w:color w:val="auto"/>
          <w:spacing w:val="2"/>
          <w:kern w:val="0"/>
          <w:position w:val="0"/>
          <w:sz w:val="24"/>
          <w:szCs w:val="24"/>
          <w:lang w:val="en-US" w:eastAsia="zh-CN"/>
        </w:rPr>
        <w:t>及中控室消防主机</w:t>
      </w:r>
      <w:r>
        <w:rPr>
          <w:rFonts w:hint="eastAsia" w:hAnsi="Times New Roman" w:cs="仿宋_GB2312"/>
          <w:spacing w:val="2"/>
          <w:kern w:val="0"/>
          <w:position w:val="0"/>
          <w:sz w:val="24"/>
          <w:szCs w:val="24"/>
          <w:lang w:val="en-US" w:eastAsia="zh-CN"/>
        </w:rPr>
        <w:t>，主机向七氟丙烷气体贮存装置发出信号，泄压装置启动排放七氟丙烷气体进行灭火。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</w:rPr>
        <w:t>三、</w:t>
      </w: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供应商资格要求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（一）投标人须具有独立法人资格及履行本项目的能力，具有独立承担民事责任能力；须具有本项目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装饰工程类、消防工程类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的经营范围，提供营业执照副本原件复印件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原件备查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如企业营业执照未反映经营范围，须提供深圳市市场监督管理局网站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或公司所在地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关于供应商经营范围查询结果的截图）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（二）投标人法人证书及法人身份证复印件；被委托人投标报名的，须额外提供法人代表授权书及被委托人身份证复印件；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（三）投标人须具建筑装修装饰工程专业承包二级以上、消防设施工程专业承包二级以上；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（四）投标人须具有建设行政主管部门颁发的安全生产许可证；</w:t>
      </w:r>
    </w:p>
    <w:p>
      <w:pPr>
        <w:pStyle w:val="2"/>
        <w:ind w:left="0" w:leftChars="0" w:firstLine="0" w:firstLineChars="0"/>
        <w:rPr>
          <w:rFonts w:hint="eastAsia" w:hAnsi="Times New Roman" w:cs="仿宋_GB2312"/>
          <w:spacing w:val="2"/>
          <w:kern w:val="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hAnsi="Times New Roman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（五）投标人需具有质量管理体系认证证书、环境管理体系认证证书、职业健康安全管理体系认证证书，以上证书的认证</w:t>
      </w:r>
      <w:r>
        <w:rPr>
          <w:rFonts w:hint="eastAsia" w:hAnsi="Times New Roman" w:cs="仿宋_GB2312"/>
          <w:spacing w:val="2"/>
          <w:kern w:val="0"/>
          <w:position w:val="0"/>
          <w:sz w:val="24"/>
          <w:szCs w:val="24"/>
          <w:highlight w:val="none"/>
          <w:lang w:val="en-US" w:eastAsia="zh-CN"/>
        </w:rPr>
        <w:t>/注册范围包含：消防设施工程、建筑装修装饰工程；</w:t>
      </w:r>
    </w:p>
    <w:p>
      <w:pPr>
        <w:rPr>
          <w:rFonts w:hint="default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val="en-US" w:eastAsia="zh-CN" w:bidi="ar-SA"/>
        </w:rPr>
        <w:t>（六）投标人需同时提供消防设施工程、建筑装修装饰工程相关业绩案例及履约情况；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52" w:lineRule="exact"/>
        <w:ind w:left="0" w:leftChars="0" w:right="62" w:rightChars="0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（七）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本项目不接受联合体投标，不允许分包、转包。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52" w:lineRule="exact"/>
        <w:ind w:left="0" w:leftChars="0" w:right="62" w:rightChars="0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（八）陪标责任：此项目不接收供应商同时投标，经查发现存在陪标现象，取消本次所有参标资格，并按相关规定进行上报和追责。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四、其他要求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（一）承包方式：包工包料；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（二）提供工程量清单；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（三）施工期限：自合同签订之日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en-US" w:eastAsia="zh-CN"/>
        </w:rPr>
        <w:t>45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en-US" w:eastAsia="zh-CN"/>
        </w:rPr>
        <w:t>天内完成整个项目实施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780D1"/>
    <w:multiLevelType w:val="singleLevel"/>
    <w:tmpl w:val="A34780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2ADF"/>
    <w:rsid w:val="01B14053"/>
    <w:rsid w:val="030B5A04"/>
    <w:rsid w:val="08CE7E05"/>
    <w:rsid w:val="0AA76697"/>
    <w:rsid w:val="1CAA014E"/>
    <w:rsid w:val="270E2D60"/>
    <w:rsid w:val="286E41BD"/>
    <w:rsid w:val="2AA8088C"/>
    <w:rsid w:val="328A6357"/>
    <w:rsid w:val="34E74756"/>
    <w:rsid w:val="388E326E"/>
    <w:rsid w:val="3C3818CF"/>
    <w:rsid w:val="45B00D36"/>
    <w:rsid w:val="4D6344EF"/>
    <w:rsid w:val="520D2325"/>
    <w:rsid w:val="57813716"/>
    <w:rsid w:val="5BFD4CD3"/>
    <w:rsid w:val="5D5913BB"/>
    <w:rsid w:val="617D097C"/>
    <w:rsid w:val="625A4FEA"/>
    <w:rsid w:val="6C796725"/>
    <w:rsid w:val="796014F9"/>
    <w:rsid w:val="7CB7393A"/>
    <w:rsid w:val="7CD00518"/>
    <w:rsid w:val="7E5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2020-10-19T01:34:00Z</dcterms:created>
  <dc:creator>6⃣️1⃣️</dc:creator>
  <cp:lastModifiedBy>黄要</cp:lastModifiedBy>
  <dcterms:modified xsi:type="dcterms:W3CDTF">2021-07-23T10:06:10Z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F1150B62ADB045018D043CFF17C46300</vt:lpwstr>
  </property>
</Properties>
</file>