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b/>
          <w:bCs/>
          <w:sz w:val="44"/>
          <w:szCs w:val="44"/>
          <w:lang w:val="en-US" w:eastAsia="zh-CN"/>
        </w:rPr>
      </w:pPr>
      <w:r>
        <w:rPr>
          <w:rFonts w:hint="eastAsia" w:ascii="方正小标宋简体" w:hAnsi="仿宋" w:eastAsia="方正小标宋简体" w:cs="仿宋"/>
          <w:sz w:val="44"/>
          <w:szCs w:val="44"/>
        </w:rPr>
        <w:t>采购需求</w:t>
      </w:r>
    </w:p>
    <w:p>
      <w:pPr>
        <w:jc w:val="center"/>
        <w:rPr>
          <w:rFonts w:hint="eastAsia"/>
          <w:sz w:val="44"/>
          <w:szCs w:val="44"/>
          <w:lang w:val="en-US" w:eastAsia="zh-CN"/>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widowControl/>
        <w:ind w:firstLine="640" w:firstLineChars="200"/>
        <w:jc w:val="both"/>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采购项目名称：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光明区文化馆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2022年“乐享艺术生活”公益文化艺术培训</w:t>
      </w:r>
    </w:p>
    <w:p>
      <w:pPr>
        <w:keepNext w:val="0"/>
        <w:keepLines w:val="0"/>
        <w:pageBreakBefore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（二）采购项目介绍</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ind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光明区文化馆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2022年“乐享艺术生活”公益文化艺术培训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项目计划于3-11月分三期开展，开设至少7个艺术类别（舞蹈、音乐、书画、摄影、乐器、棋类、综合等）的课程，为广大市民群众提供免费学习名额。项目拟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专业的培训机构运行管理，投标方须根据采购方项目采购需求，制定完善的项目实施方案，并负责实施。</w:t>
      </w:r>
    </w:p>
    <w:p>
      <w:pPr>
        <w:pStyle w:val="2"/>
        <w:widowControl/>
        <w:ind w:firstLine="640" w:firstLineChars="200"/>
        <w:jc w:val="both"/>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（三）项目实施地点介绍：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光明区文化馆(光明区公明街道振民路9号)</w:t>
      </w:r>
    </w:p>
    <w:p>
      <w:pPr>
        <w:numPr>
          <w:ilvl w:val="0"/>
          <w:numId w:val="1"/>
        </w:numPr>
        <w:spacing w:line="560" w:lineRule="exact"/>
        <w:ind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pStyle w:val="8"/>
        <w:widowControl w:val="0"/>
        <w:numPr>
          <w:ilvl w:val="0"/>
          <w:numId w:val="2"/>
        </w:numPr>
        <w:suppressAutoHyphens/>
        <w:autoSpaceDE w:val="0"/>
        <w:ind w:firstLine="643" w:firstLineChars="200"/>
        <w:jc w:val="both"/>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课程设置：</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项目课程设置须同时满足提高光明区文化馆场馆利用率及培训完成一定质量的教学成果。</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项目需为</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至</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5岁市民群众</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开设至少7个艺术类别，分三期开展、每期招生，每期课程项目不少于21项，全年开设不少于1250堂课。具体如下：</w:t>
      </w:r>
    </w:p>
    <w:tbl>
      <w:tblPr>
        <w:tblStyle w:val="6"/>
        <w:tblW w:w="8975"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35"/>
        <w:gridCol w:w="1950"/>
        <w:gridCol w:w="1380"/>
        <w:gridCol w:w="107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pStyle w:val="8"/>
              <w:jc w:val="cente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序号</w:t>
            </w:r>
          </w:p>
        </w:tc>
        <w:tc>
          <w:tcPr>
            <w:tcW w:w="1235" w:type="dxa"/>
            <w:vAlign w:val="center"/>
          </w:tcPr>
          <w:p>
            <w:pPr>
              <w:pStyle w:val="8"/>
              <w:jc w:val="cente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项目</w:t>
            </w:r>
          </w:p>
        </w:tc>
        <w:tc>
          <w:tcPr>
            <w:tcW w:w="1950" w:type="dxa"/>
            <w:vAlign w:val="center"/>
          </w:tcPr>
          <w:p>
            <w:pPr>
              <w:pStyle w:val="8"/>
              <w:jc w:val="cente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时间</w:t>
            </w:r>
          </w:p>
        </w:tc>
        <w:tc>
          <w:tcPr>
            <w:tcW w:w="1380" w:type="dxa"/>
            <w:vAlign w:val="center"/>
          </w:tcPr>
          <w:p>
            <w:pPr>
              <w:pStyle w:val="8"/>
              <w:jc w:val="cente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年龄段</w:t>
            </w:r>
          </w:p>
        </w:tc>
        <w:tc>
          <w:tcPr>
            <w:tcW w:w="1075" w:type="dxa"/>
            <w:vAlign w:val="center"/>
          </w:tcPr>
          <w:p>
            <w:pPr>
              <w:pStyle w:val="8"/>
              <w:jc w:val="cente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总课时</w:t>
            </w:r>
          </w:p>
        </w:tc>
        <w:tc>
          <w:tcPr>
            <w:tcW w:w="2625" w:type="dxa"/>
            <w:vAlign w:val="center"/>
          </w:tcPr>
          <w:p>
            <w:pPr>
              <w:pStyle w:val="8"/>
              <w:jc w:val="center"/>
              <w:rPr>
                <w:rFonts w:hint="default"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1</w:t>
            </w:r>
          </w:p>
        </w:tc>
        <w:tc>
          <w:tcPr>
            <w:tcW w:w="1235"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艺术夜校</w:t>
            </w:r>
          </w:p>
        </w:tc>
        <w:tc>
          <w:tcPr>
            <w:tcW w:w="195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周一至周日晚</w:t>
            </w:r>
          </w:p>
        </w:tc>
        <w:tc>
          <w:tcPr>
            <w:tcW w:w="138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18-55周岁</w:t>
            </w:r>
          </w:p>
        </w:tc>
        <w:tc>
          <w:tcPr>
            <w:tcW w:w="1075" w:type="dxa"/>
            <w:vAlign w:val="center"/>
          </w:tcPr>
          <w:p>
            <w:pPr>
              <w:pStyle w:val="8"/>
              <w:jc w:val="center"/>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≧350</w:t>
            </w:r>
          </w:p>
        </w:tc>
        <w:tc>
          <w:tcPr>
            <w:tcW w:w="2625" w:type="dxa"/>
            <w:vAlign w:val="center"/>
          </w:tcPr>
          <w:p>
            <w:pPr>
              <w:pStyle w:val="8"/>
              <w:jc w:val="center"/>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以普及青年群体为主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pStyle w:val="8"/>
              <w:spacing w:line="480" w:lineRule="auto"/>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2</w:t>
            </w:r>
          </w:p>
        </w:tc>
        <w:tc>
          <w:tcPr>
            <w:tcW w:w="1235" w:type="dxa"/>
            <w:vAlign w:val="center"/>
          </w:tcPr>
          <w:p>
            <w:pPr>
              <w:pStyle w:val="8"/>
              <w:spacing w:line="480" w:lineRule="auto"/>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普及班</w:t>
            </w:r>
          </w:p>
        </w:tc>
        <w:tc>
          <w:tcPr>
            <w:tcW w:w="1950" w:type="dxa"/>
            <w:vAlign w:val="center"/>
          </w:tcPr>
          <w:p>
            <w:pPr>
              <w:pStyle w:val="8"/>
              <w:spacing w:line="480" w:lineRule="auto"/>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周一至周五白天</w:t>
            </w:r>
          </w:p>
        </w:tc>
        <w:tc>
          <w:tcPr>
            <w:tcW w:w="1380" w:type="dxa"/>
            <w:vAlign w:val="center"/>
          </w:tcPr>
          <w:p>
            <w:pPr>
              <w:pStyle w:val="8"/>
              <w:spacing w:line="480" w:lineRule="auto"/>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18-65</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周岁</w:t>
            </w:r>
          </w:p>
        </w:tc>
        <w:tc>
          <w:tcPr>
            <w:tcW w:w="1075" w:type="dxa"/>
            <w:vAlign w:val="center"/>
          </w:tcPr>
          <w:p>
            <w:pPr>
              <w:pStyle w:val="8"/>
              <w:spacing w:line="480" w:lineRule="auto"/>
              <w:jc w:val="center"/>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≧500</w:t>
            </w:r>
          </w:p>
        </w:tc>
        <w:tc>
          <w:tcPr>
            <w:tcW w:w="2625" w:type="dxa"/>
            <w:vAlign w:val="center"/>
          </w:tcPr>
          <w:p>
            <w:pPr>
              <w:pStyle w:val="8"/>
              <w:jc w:val="center"/>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以普及中老年人为主体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3</w:t>
            </w:r>
          </w:p>
        </w:tc>
        <w:tc>
          <w:tcPr>
            <w:tcW w:w="1235"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少儿班</w:t>
            </w:r>
          </w:p>
        </w:tc>
        <w:tc>
          <w:tcPr>
            <w:tcW w:w="195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周六至周日</w:t>
            </w:r>
          </w:p>
        </w:tc>
        <w:tc>
          <w:tcPr>
            <w:tcW w:w="1380"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6-17周岁</w:t>
            </w:r>
          </w:p>
        </w:tc>
        <w:tc>
          <w:tcPr>
            <w:tcW w:w="1075" w:type="dxa"/>
            <w:vAlign w:val="center"/>
          </w:tcPr>
          <w:p>
            <w:pPr>
              <w:pStyle w:val="8"/>
              <w:jc w:val="center"/>
              <w:rPr>
                <w:rFonts w:hint="default"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≧400</w:t>
            </w:r>
          </w:p>
        </w:tc>
        <w:tc>
          <w:tcPr>
            <w:tcW w:w="2625" w:type="dxa"/>
            <w:vAlign w:val="center"/>
          </w:tcPr>
          <w:p>
            <w:pPr>
              <w:pStyle w:val="8"/>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以普及少儿为主体</w:t>
            </w:r>
          </w:p>
        </w:tc>
      </w:tr>
    </w:tbl>
    <w:p>
      <w:pPr>
        <w:pStyle w:val="8"/>
        <w:widowControl w:val="0"/>
        <w:numPr>
          <w:ilvl w:val="-1"/>
          <w:numId w:val="0"/>
        </w:numPr>
        <w:suppressAutoHyphens/>
        <w:autoSpaceDE w:val="0"/>
        <w:ind w:firstLine="640" w:firstLineChars="200"/>
        <w:jc w:val="both"/>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请投标方提供完整的项目实施方案，包含具体课程、招生安排、服务团队、项目管理等内容。</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物料</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制作：</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投标方需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根据采购方要求，每期设计、印制100份招生简章（彩页）、1张长2.55</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玻璃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幕墙</w:t>
      </w:r>
      <w:r>
        <w:rPr>
          <w:rFonts w:hint="eastAsia" w:ascii="仿宋_GB2312" w:hAnsi="仿宋_GB2312" w:eastAsia="仿宋_GB2312" w:cs="仿宋_GB2312"/>
          <w:color w:val="000000" w:themeColor="text1"/>
          <w:kern w:val="0"/>
          <w:sz w:val="32"/>
          <w:szCs w:val="32"/>
          <w14:textFill>
            <w14:solidFill>
              <w14:schemeClr w14:val="tx1"/>
            </w14:solidFill>
          </w14:textFill>
        </w:rPr>
        <w:t>海报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2张长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米*高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米的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展架海报、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50张0.6米*高0.8米的矩形海报，设计、印刷500份入学录取通知书（彩页）、毕业证书和学员手册（以招生人数为准）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。请投标方提供设计样板。</w:t>
      </w:r>
    </w:p>
    <w:p>
      <w:pPr>
        <w:ind w:firstLine="640" w:firstLineChars="200"/>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人员要求：</w:t>
      </w:r>
    </w:p>
    <w:p>
      <w:p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rPr>
        <w:t>1.本项目配备不少于15人的服务团队，其中项目负责人1名，任课老师不少于14名（须具有相应的</w:t>
      </w:r>
      <w:r>
        <w:rPr>
          <w:rFonts w:hint="eastAsia" w:ascii="仿宋_GB2312" w:hAnsi="仿宋_GB2312" w:eastAsia="仿宋_GB2312" w:cs="仿宋_GB2312"/>
          <w:b w:val="0"/>
          <w:i w:val="0"/>
          <w:caps w:val="0"/>
          <w:color w:val="000000"/>
          <w:spacing w:val="0"/>
          <w:kern w:val="0"/>
          <w:sz w:val="32"/>
          <w:szCs w:val="32"/>
          <w:lang w:val="en-US" w:eastAsia="zh-CN" w:bidi="ar"/>
        </w:rPr>
        <w:t>专业资质证书</w:t>
      </w:r>
      <w:r>
        <w:rPr>
          <w:rFonts w:hint="eastAsia" w:ascii="仿宋_GB2312" w:hAnsi="仿宋_GB2312" w:eastAsia="仿宋_GB2312" w:cs="仿宋_GB2312"/>
          <w:kern w:val="0"/>
          <w:sz w:val="32"/>
          <w:szCs w:val="32"/>
          <w:lang w:val="en-US" w:eastAsia="zh-CN"/>
        </w:rPr>
        <w:t>或专业职业技术等级证书或区级以上各类专业比赛的获奖证书</w:t>
      </w:r>
      <w:r>
        <w:rPr>
          <w:rFonts w:hint="eastAsia" w:ascii="仿宋_GB2312" w:hAnsi="仿宋_GB2312" w:eastAsia="仿宋_GB2312" w:cs="仿宋_GB2312"/>
          <w:b w:val="0"/>
          <w:i w:val="0"/>
          <w:caps w:val="0"/>
          <w:color w:val="000000"/>
          <w:spacing w:val="0"/>
          <w:kern w:val="0"/>
          <w:sz w:val="32"/>
          <w:szCs w:val="32"/>
          <w:lang w:val="en-US" w:eastAsia="zh-CN" w:bidi="ar"/>
        </w:rPr>
        <w:t>）。需任课教师撰写教学计划，认真备课，积极配合采购方的工作</w:t>
      </w:r>
      <w:r>
        <w:rPr>
          <w:rFonts w:hint="eastAsia" w:ascii="仿宋_GB2312" w:hAnsi="仿宋_GB2312" w:eastAsia="仿宋_GB2312" w:cs="仿宋_GB2312"/>
          <w:kern w:val="0"/>
          <w:sz w:val="32"/>
          <w:szCs w:val="32"/>
          <w:lang w:val="en-US" w:eastAsia="zh-CN"/>
        </w:rPr>
        <w:t>，请投标方提供教师团队介绍及相关资质证明，并</w:t>
      </w:r>
      <w:r>
        <w:rPr>
          <w:rFonts w:hint="eastAsia" w:ascii="仿宋_GB2312" w:hAnsi="仿宋_GB2312" w:eastAsia="仿宋_GB2312" w:cs="仿宋_GB2312"/>
          <w:color w:val="auto"/>
          <w:kern w:val="0"/>
          <w:sz w:val="32"/>
          <w:szCs w:val="32"/>
          <w:lang w:val="en-US" w:eastAsia="zh-CN" w:bidi="ar-SA"/>
        </w:rPr>
        <w:t>保证信息的准确性、严谨和合法性，由采购方审定授课老师。</w:t>
      </w:r>
    </w:p>
    <w:p>
      <w:pPr>
        <w:ind w:firstLine="640" w:firstLineChars="200"/>
        <w:rPr>
          <w:rFonts w:hint="default"/>
          <w:lang w:val="en-US" w:eastAsia="zh-CN"/>
        </w:rPr>
      </w:pPr>
      <w:r>
        <w:rPr>
          <w:rFonts w:hint="eastAsia" w:ascii="仿宋_GB2312" w:hAnsi="仿宋_GB2312" w:eastAsia="仿宋_GB2312" w:cs="仿宋_GB2312"/>
          <w:kern w:val="0"/>
          <w:sz w:val="32"/>
          <w:szCs w:val="32"/>
          <w:lang w:val="en-US" w:eastAsia="zh-CN"/>
        </w:rPr>
        <w:t>2.投标方须提供1名相对固定、熟悉项目的项目管理人员，驻职在项目实施地点，负责项目日常跟进管理、师生考勤及对接采购方，要求熟练电脑操作。</w:t>
      </w:r>
    </w:p>
    <w:p>
      <w:pPr>
        <w:pStyle w:val="2"/>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服务成果：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静态类课程班级学员应能独立完成不少于2幅作品；动态类课程应完成相应的组合动作、曲目等学习任务，学员可独立展示不少于1个节目。请投标方提供课程初步教学方案或教学目标。</w:t>
      </w:r>
    </w:p>
    <w:p>
      <w:pPr>
        <w:pStyle w:val="8"/>
        <w:ind w:firstLine="640" w:firstLineChars="200"/>
        <w:jc w:val="both"/>
        <w:rPr>
          <w:rFonts w:hint="eastAsia" w:ascii="黑体" w:hAnsi="黑体" w:eastAsia="黑体" w:cs="仿宋"/>
          <w:color w:val="000000"/>
          <w:kern w:val="2"/>
          <w:sz w:val="32"/>
          <w:szCs w:val="32"/>
          <w:lang w:val="en-US" w:eastAsia="zh-CN" w:bidi="ar-SA"/>
        </w:rPr>
      </w:pPr>
      <w:r>
        <w:rPr>
          <w:rFonts w:hint="eastAsia" w:ascii="黑体" w:hAnsi="黑体" w:eastAsia="黑体" w:cs="仿宋"/>
          <w:color w:val="000000"/>
          <w:kern w:val="2"/>
          <w:sz w:val="32"/>
          <w:szCs w:val="32"/>
          <w:lang w:val="en-US" w:eastAsia="zh-CN" w:bidi="ar-SA"/>
        </w:rPr>
        <w:t>五、服务要求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各班日常管理（含师生考勤）、教学进度推进工作、授课期间师生上课安全工作，并定期向采购方汇报上课情况，保障项目正常有序开展。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严格按照光明区文化馆的规章制度。且培训期间，中标人应自觉遵章守纪，提供热情周到的服务并完成培训任务。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指定专人负责本项目的培训工作并负责做好培训记录，且每周完成考勤录入系统。</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负责培训学员的接待和服务工作。确保课程的教学质量，保证学员学有所得。每期的公益培训涵盖培训课程做到精淮服务，保质保量。对于课程的培训要与时俱具进，做到每期的培训都有亮点。</w:t>
      </w:r>
    </w:p>
    <w:p>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负责联系授课老师并支付培训老师的费用。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在服务期间不得存在严重的欺诈行为（如未经协商取消开课、中途无故停课等），如发生类似情况采购方有权单方面终止合同，并拒绝支付相关款项。由此引起的重大损失，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（八）服务期间，未经采购方同意，中标方不得擅自停课。</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 如在培训过程中与学员或教师发生纠纷的，中标方应妥善处理并承坦赔偿责任和法律责任，由此产生的后果与采购方无关。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 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中标方须向采购方提供培训期间的系列档案：包括培训管理团队人员的资质、管理考核档案；公益培训年度及每期计划、过程和总结档案、培训教师的监督；学员的出勤登记的相关资料等。上交档案时间为每期公益培训结业后，材质包括纸质、文字文档、图片、音频或视频（纸质材料须加盖</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公章)</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二）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（十三）疫情期间，应全力配合做好各项防疫工作要求，如防疫部门要求暂停开展线下文化活动，将中止项目。项目费用按实际开展课时数支付。</w:t>
      </w:r>
    </w:p>
    <w:p>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i w:val="0"/>
          <w:caps w:val="0"/>
          <w:color w:val="auto"/>
          <w:spacing w:val="0"/>
          <w:kern w:val="0"/>
          <w:sz w:val="32"/>
          <w:szCs w:val="32"/>
          <w:lang w:val="en-US" w:eastAsia="zh-CN" w:bidi="ar"/>
        </w:rPr>
        <w:t>（十四）</w:t>
      </w:r>
      <w:r>
        <w:rPr>
          <w:rFonts w:hint="eastAsia" w:ascii="仿宋_GB2312" w:hAnsi="仿宋_GB2312" w:eastAsia="仿宋_GB2312" w:cs="仿宋_GB2312"/>
          <w:b w:val="0"/>
          <w:i w:val="0"/>
          <w:caps w:val="0"/>
          <w:color w:val="000000"/>
          <w:spacing w:val="0"/>
          <w:kern w:val="0"/>
          <w:sz w:val="32"/>
          <w:szCs w:val="32"/>
          <w:lang w:val="en-US" w:eastAsia="zh-CN" w:bidi="ar"/>
        </w:rPr>
        <w:t>中标方应</w:t>
      </w:r>
      <w:r>
        <w:rPr>
          <w:rFonts w:hint="eastAsia" w:ascii="仿宋_GB2312" w:hAnsi="仿宋_GB2312" w:eastAsia="仿宋_GB2312" w:cs="仿宋_GB2312"/>
          <w:color w:val="auto"/>
          <w:kern w:val="0"/>
          <w:sz w:val="32"/>
          <w:szCs w:val="32"/>
          <w:lang w:eastAsia="zh-CN"/>
        </w:rPr>
        <w:t>积极配合推荐、组织项目优秀学员或节目参与各级文艺赛事活动，以及采购方开展的其他文艺活动。</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十五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rtl w:val="0"/>
          <w:lang w:val="zh-Hans" w:eastAsia="zh-CN"/>
        </w:rPr>
        <w:t>在意识形态审查中负主体责任，负责审查</w:t>
      </w:r>
      <w:r>
        <w:rPr>
          <w:rFonts w:hint="eastAsia" w:ascii="仿宋_GB2312" w:hAnsi="仿宋_GB2312" w:eastAsia="仿宋_GB2312" w:cs="仿宋_GB2312"/>
          <w:color w:val="auto"/>
          <w:kern w:val="0"/>
          <w:sz w:val="32"/>
          <w:szCs w:val="32"/>
          <w:rtl w:val="0"/>
          <w:lang w:val="en-US" w:eastAsia="zh-CN"/>
        </w:rPr>
        <w:t>海报</w:t>
      </w:r>
      <w:r>
        <w:rPr>
          <w:rFonts w:hint="eastAsia" w:ascii="仿宋_GB2312" w:hAnsi="仿宋_GB2312" w:eastAsia="仿宋_GB2312" w:cs="仿宋_GB2312"/>
          <w:color w:val="auto"/>
          <w:kern w:val="0"/>
          <w:sz w:val="32"/>
          <w:szCs w:val="32"/>
          <w:rtl w:val="0"/>
          <w:lang w:val="zh-Hans" w:eastAsia="zh-CN"/>
        </w:rPr>
        <w:t>设计宣传等是否存在意识形态、版权等问题。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六</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具备履行合同所必需的设备和专业技术能力的证明材料，须包含开展文化艺术培训或文化活动策划等相关资质，具备丰富的文化艺术培训和管理、文化活动策划经验（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（四）投标方为本项目提供整体设计、规范编制或者管理、监理、检测等服务的，不得再参与此次采购项目的投标；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七</w:t>
      </w:r>
      <w:r>
        <w:rPr>
          <w:rFonts w:hint="default" w:ascii="黑体" w:hAnsi="黑体" w:eastAsia="黑体" w:cs="仿宋"/>
          <w:color w:val="000000"/>
          <w:sz w:val="32"/>
          <w:szCs w:val="32"/>
          <w:lang w:val="en-US" w:eastAsia="zh-CN"/>
        </w:rPr>
        <w:t>、评标定标方法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八</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深圳市光明区振明路9号光明区文化馆。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（三）1.本项目预算金额：49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（四）付款方式：付款以实际课程数量按实结算，实报实销。最终实际支付费用不得超过签订合同费用。项目款项分2阶段支付：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ascii="仿宋_GB2312" w:hAnsi="仿宋" w:eastAsia="仿宋_GB2312" w:cs="仿宋"/>
          <w:color w:val="0000FF"/>
          <w:sz w:val="28"/>
          <w:szCs w:val="28"/>
        </w:rPr>
      </w:pPr>
      <w:r>
        <w:rPr>
          <w:rFonts w:hint="eastAsia" w:ascii="仿宋_GB2312" w:hAnsi="仿宋_GB2312" w:eastAsia="仿宋_GB2312" w:cs="仿宋_GB2312"/>
          <w:color w:val="000000"/>
          <w:kern w:val="0"/>
          <w:sz w:val="32"/>
          <w:szCs w:val="32"/>
          <w:lang w:val="en-US" w:eastAsia="zh-CN" w:bidi="ar-SA"/>
        </w:rPr>
        <w:t>2.验收经费，合同总额的40%。根据验收情况进行支付，验收达到合格且收到等额合法税务发票后支付合同总额的40%；验收不合格，则扣除总经费的10%不予支付。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w:t>
      </w:r>
      <w:bookmarkStart w:id="0" w:name="_GoBack"/>
      <w:bookmarkEnd w:id="0"/>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课程分3期开展且课时量≧1250堂，100份招生简章（彩页）、1张玻璃幕墙海报、2张X展架海报，50张电梯海报，500份入学录取通知书（彩页）、毕业证书和学员手册（以招生人数为准），费用清单表、教师学员签到表、教师工资签领表、班级</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上课图片（每班各5张）、结课视频或作品（纸质资料须加盖中标方公章)，学员满意度不低于80%。</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rPr>
          <w:rFonts w:hint="default" w:ascii="仿宋_GB2312" w:hAnsi="仿宋_GB2312" w:eastAsia="仿宋_GB2312" w:cs="仿宋_GB2312"/>
          <w:color w:val="FF0000"/>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rPr>
    </w:lvl>
  </w:abstractNum>
  <w:abstractNum w:abstractNumId="1">
    <w:nsid w:val="788BC807"/>
    <w:multiLevelType w:val="singleLevel"/>
    <w:tmpl w:val="788BC80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2AB3"/>
    <w:rsid w:val="000E0DBF"/>
    <w:rsid w:val="00502740"/>
    <w:rsid w:val="009605B3"/>
    <w:rsid w:val="06112D3F"/>
    <w:rsid w:val="07EA4B56"/>
    <w:rsid w:val="097510BC"/>
    <w:rsid w:val="09806798"/>
    <w:rsid w:val="0A932149"/>
    <w:rsid w:val="0AB9005C"/>
    <w:rsid w:val="0B3467A8"/>
    <w:rsid w:val="0B68482D"/>
    <w:rsid w:val="0C80591F"/>
    <w:rsid w:val="0CEC4427"/>
    <w:rsid w:val="0D702907"/>
    <w:rsid w:val="0D9E7F94"/>
    <w:rsid w:val="10A77C28"/>
    <w:rsid w:val="10CD39C0"/>
    <w:rsid w:val="116E5FCA"/>
    <w:rsid w:val="12C4092B"/>
    <w:rsid w:val="12F02CC4"/>
    <w:rsid w:val="13892751"/>
    <w:rsid w:val="14353552"/>
    <w:rsid w:val="1581666E"/>
    <w:rsid w:val="174D26B7"/>
    <w:rsid w:val="17D96C67"/>
    <w:rsid w:val="17F874E9"/>
    <w:rsid w:val="180800E9"/>
    <w:rsid w:val="182A078A"/>
    <w:rsid w:val="19AA6533"/>
    <w:rsid w:val="1A17781C"/>
    <w:rsid w:val="1A2A1450"/>
    <w:rsid w:val="1A2D482E"/>
    <w:rsid w:val="1A3A2062"/>
    <w:rsid w:val="1B435975"/>
    <w:rsid w:val="1B982B8A"/>
    <w:rsid w:val="1D2A06FB"/>
    <w:rsid w:val="1D9026DA"/>
    <w:rsid w:val="1EDA261F"/>
    <w:rsid w:val="1F831B79"/>
    <w:rsid w:val="20885132"/>
    <w:rsid w:val="20E410DB"/>
    <w:rsid w:val="22CB6196"/>
    <w:rsid w:val="239505EC"/>
    <w:rsid w:val="24091CE7"/>
    <w:rsid w:val="246A0B8B"/>
    <w:rsid w:val="253A4F33"/>
    <w:rsid w:val="256F28A7"/>
    <w:rsid w:val="25D7782D"/>
    <w:rsid w:val="25F42954"/>
    <w:rsid w:val="27EC294D"/>
    <w:rsid w:val="29062513"/>
    <w:rsid w:val="2927387C"/>
    <w:rsid w:val="2A3A4FCC"/>
    <w:rsid w:val="2B8A0AF5"/>
    <w:rsid w:val="2D352AB3"/>
    <w:rsid w:val="2DFC2D14"/>
    <w:rsid w:val="31444C4B"/>
    <w:rsid w:val="32404271"/>
    <w:rsid w:val="32755CD8"/>
    <w:rsid w:val="343D6DA6"/>
    <w:rsid w:val="35EF2FDE"/>
    <w:rsid w:val="36790C1D"/>
    <w:rsid w:val="37531A61"/>
    <w:rsid w:val="3ADF55D5"/>
    <w:rsid w:val="3C562810"/>
    <w:rsid w:val="3D882BA7"/>
    <w:rsid w:val="3DBE554D"/>
    <w:rsid w:val="3EC71958"/>
    <w:rsid w:val="40264F1A"/>
    <w:rsid w:val="46DE3892"/>
    <w:rsid w:val="46F30B6D"/>
    <w:rsid w:val="47A125F4"/>
    <w:rsid w:val="4ACD7E39"/>
    <w:rsid w:val="4B394A9A"/>
    <w:rsid w:val="4C607A8E"/>
    <w:rsid w:val="4CB641C2"/>
    <w:rsid w:val="4D186DBF"/>
    <w:rsid w:val="4E6E355D"/>
    <w:rsid w:val="51300374"/>
    <w:rsid w:val="51467544"/>
    <w:rsid w:val="533D41C7"/>
    <w:rsid w:val="53C42C22"/>
    <w:rsid w:val="53E80BD0"/>
    <w:rsid w:val="54546635"/>
    <w:rsid w:val="545D59BB"/>
    <w:rsid w:val="54C01323"/>
    <w:rsid w:val="55D8474F"/>
    <w:rsid w:val="56A47AC1"/>
    <w:rsid w:val="56A57618"/>
    <w:rsid w:val="57097A94"/>
    <w:rsid w:val="57615371"/>
    <w:rsid w:val="5C0745FC"/>
    <w:rsid w:val="5E4B3534"/>
    <w:rsid w:val="5E50119B"/>
    <w:rsid w:val="5E797216"/>
    <w:rsid w:val="5EE7134A"/>
    <w:rsid w:val="5F4019F0"/>
    <w:rsid w:val="601F1972"/>
    <w:rsid w:val="62095332"/>
    <w:rsid w:val="639D5992"/>
    <w:rsid w:val="63C5338B"/>
    <w:rsid w:val="64966F15"/>
    <w:rsid w:val="65653933"/>
    <w:rsid w:val="65EC5BFE"/>
    <w:rsid w:val="663635F4"/>
    <w:rsid w:val="674A2735"/>
    <w:rsid w:val="67D41EBA"/>
    <w:rsid w:val="67F701D7"/>
    <w:rsid w:val="6863543D"/>
    <w:rsid w:val="6AD74AE8"/>
    <w:rsid w:val="6D404752"/>
    <w:rsid w:val="6F1D6A4C"/>
    <w:rsid w:val="711363E6"/>
    <w:rsid w:val="76BD5510"/>
    <w:rsid w:val="77DB0D06"/>
    <w:rsid w:val="7A0F76D5"/>
    <w:rsid w:val="7A760B02"/>
    <w:rsid w:val="7AC91210"/>
    <w:rsid w:val="7B6B54F7"/>
    <w:rsid w:val="7BBB3453"/>
    <w:rsid w:val="7BEF4A81"/>
    <w:rsid w:val="7C6B5EF3"/>
    <w:rsid w:val="7CF941F3"/>
    <w:rsid w:val="7E35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2021-12-28T02:38:00Z</dcterms:created>
  <dc:creator>L湲</dc:creator>
  <cp:lastModifiedBy>L湲</cp:lastModifiedBy>
  <cp:lastPrinted>2022-01-27T02:26:00Z</cp:lastPrinted>
  <dcterms:modified xsi:type="dcterms:W3CDTF">2022-02-17T03:55:41Z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523248ACE8DC43C2816E5C36FA4D829B</vt:lpwstr>
  </property>
</Properties>
</file>