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仿宋" w:eastAsia="方正小标宋简体" w:cs="仿宋"/>
          <w:b/>
          <w:sz w:val="44"/>
          <w:szCs w:val="44"/>
        </w:rPr>
      </w:pPr>
      <w:r>
        <w:rPr>
          <w:rFonts w:hint="eastAsia" w:ascii="方正小标宋简体" w:hAnsi="仿宋" w:eastAsia="方正小标宋简体" w:cs="仿宋"/>
          <w:sz w:val="44"/>
          <w:szCs w:val="44"/>
        </w:rPr>
        <w:t>采购需求</w:t>
      </w:r>
    </w:p>
    <w:p>
      <w:pPr>
        <w:spacing w:line="580" w:lineRule="exact"/>
        <w:jc w:val="center"/>
        <w:rPr>
          <w:rFonts w:ascii="仿宋_GB2312" w:hAnsi="仿宋" w:eastAsia="仿宋_GB2312" w:cs="仿宋"/>
          <w:sz w:val="32"/>
          <w:szCs w:val="32"/>
        </w:rPr>
      </w:pPr>
    </w:p>
    <w:p>
      <w:pPr>
        <w:spacing w:line="560" w:lineRule="exact"/>
        <w:ind w:firstLine="640" w:firstLineChars="200"/>
        <w:rPr>
          <w:rFonts w:ascii="黑体" w:hAnsi="黑体" w:eastAsia="黑体" w:cs="仿宋"/>
          <w:color w:val="auto"/>
          <w:sz w:val="32"/>
          <w:szCs w:val="32"/>
        </w:rPr>
      </w:pPr>
      <w:r>
        <w:rPr>
          <w:rFonts w:hint="eastAsia" w:ascii="黑体" w:hAnsi="黑体" w:eastAsia="黑体" w:cs="仿宋"/>
          <w:color w:val="auto"/>
          <w:sz w:val="32"/>
          <w:szCs w:val="32"/>
        </w:rPr>
        <w:t>一、采购项目概况</w:t>
      </w:r>
    </w:p>
    <w:p>
      <w:pPr>
        <w:widowControl/>
        <w:ind w:firstLine="640" w:firstLineChars="200"/>
        <w:jc w:val="left"/>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（一）</w:t>
      </w:r>
      <w:r>
        <w:rPr>
          <w:rFonts w:hint="eastAsia" w:ascii="仿宋_GB2312" w:hAnsi="仿宋_GB2312" w:eastAsia="仿宋_GB2312" w:cs="仿宋_GB2312"/>
          <w:color w:val="auto"/>
          <w:kern w:val="0"/>
          <w:sz w:val="32"/>
          <w:szCs w:val="32"/>
        </w:rPr>
        <w:t>采购项目名称：</w:t>
      </w:r>
      <w:r>
        <w:rPr>
          <w:rFonts w:hint="eastAsia" w:ascii="仿宋_GB2312" w:hAnsi="仿宋_GB2312" w:eastAsia="仿宋_GB2312" w:cs="仿宋_GB2312"/>
          <w:color w:val="auto"/>
          <w:kern w:val="0"/>
          <w:sz w:val="32"/>
          <w:szCs w:val="32"/>
          <w:lang w:val="en-US" w:eastAsia="zh-CN"/>
        </w:rPr>
        <w:t>2023年</w:t>
      </w:r>
      <w:r>
        <w:rPr>
          <w:rFonts w:hint="eastAsia" w:ascii="仿宋_GB2312" w:hAnsi="仿宋_GB2312" w:eastAsia="仿宋_GB2312" w:cs="仿宋_GB2312"/>
          <w:color w:val="auto"/>
          <w:kern w:val="0"/>
          <w:sz w:val="32"/>
          <w:szCs w:val="32"/>
          <w:lang w:eastAsia="zh-CN"/>
        </w:rPr>
        <w:t>光明区第</w:t>
      </w:r>
      <w:r>
        <w:rPr>
          <w:rFonts w:hint="eastAsia" w:ascii="仿宋_GB2312" w:hAnsi="仿宋_GB2312" w:eastAsia="仿宋_GB2312" w:cs="仿宋_GB2312"/>
          <w:color w:val="auto"/>
          <w:kern w:val="0"/>
          <w:sz w:val="32"/>
          <w:szCs w:val="32"/>
          <w:lang w:val="en-US" w:eastAsia="zh-CN"/>
        </w:rPr>
        <w:t>八</w:t>
      </w:r>
      <w:r>
        <w:rPr>
          <w:rFonts w:hint="eastAsia" w:ascii="仿宋_GB2312" w:hAnsi="仿宋_GB2312" w:eastAsia="仿宋_GB2312" w:cs="仿宋_GB2312"/>
          <w:color w:val="auto"/>
          <w:kern w:val="0"/>
          <w:sz w:val="32"/>
          <w:szCs w:val="32"/>
          <w:lang w:eastAsia="zh-CN"/>
        </w:rPr>
        <w:t>届“小草音乐节”</w:t>
      </w:r>
      <w:r>
        <w:rPr>
          <w:rFonts w:hint="eastAsia" w:ascii="仿宋_GB2312" w:hAnsi="仿宋_GB2312" w:eastAsia="仿宋_GB2312" w:cs="仿宋_GB2312"/>
          <w:color w:val="auto"/>
          <w:kern w:val="0"/>
          <w:sz w:val="32"/>
          <w:szCs w:val="32"/>
          <w:lang w:val="en-US" w:eastAsia="zh-CN"/>
        </w:rPr>
        <w:t>活动服务</w:t>
      </w:r>
      <w:bookmarkStart w:id="0" w:name="_GoBack"/>
      <w:bookmarkEnd w:id="0"/>
    </w:p>
    <w:p>
      <w:pPr>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（二）</w:t>
      </w:r>
      <w:r>
        <w:rPr>
          <w:rFonts w:hint="eastAsia" w:ascii="仿宋_GB2312" w:hAnsi="仿宋_GB2312" w:eastAsia="仿宋_GB2312" w:cs="仿宋_GB2312"/>
          <w:color w:val="auto"/>
          <w:kern w:val="0"/>
          <w:sz w:val="32"/>
          <w:szCs w:val="32"/>
        </w:rPr>
        <w:t>活动内容：</w:t>
      </w:r>
      <w:r>
        <w:rPr>
          <w:rFonts w:hint="eastAsia" w:ascii="仿宋_GB2312" w:hAnsi="仿宋_GB2312" w:eastAsia="仿宋_GB2312" w:cs="仿宋_GB2312"/>
          <w:color w:val="auto"/>
          <w:kern w:val="0"/>
          <w:sz w:val="32"/>
          <w:szCs w:val="32"/>
          <w:lang w:eastAsia="zh-CN"/>
        </w:rPr>
        <w:t>室</w:t>
      </w:r>
      <w:r>
        <w:rPr>
          <w:rFonts w:hint="eastAsia" w:ascii="仿宋_GB2312" w:hAnsi="仿宋_GB2312" w:eastAsia="仿宋_GB2312" w:cs="仿宋_GB2312"/>
          <w:color w:val="auto"/>
          <w:kern w:val="0"/>
          <w:sz w:val="32"/>
          <w:szCs w:val="32"/>
          <w:lang w:val="en-US" w:eastAsia="zh-CN"/>
        </w:rPr>
        <w:t>外</w:t>
      </w:r>
      <w:r>
        <w:rPr>
          <w:rFonts w:hint="eastAsia" w:ascii="仿宋_GB2312" w:hAnsi="仿宋_GB2312" w:eastAsia="仿宋_GB2312" w:cs="仿宋_GB2312"/>
          <w:color w:val="auto"/>
          <w:kern w:val="0"/>
          <w:sz w:val="32"/>
          <w:szCs w:val="32"/>
          <w:lang w:eastAsia="zh-CN"/>
        </w:rPr>
        <w:t>音乐会</w:t>
      </w:r>
    </w:p>
    <w:p>
      <w:pPr>
        <w:pStyle w:val="2"/>
        <w:rPr>
          <w:rFonts w:hint="default"/>
          <w:lang w:val="en-US"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三</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活动</w:t>
      </w:r>
      <w:r>
        <w:rPr>
          <w:rFonts w:hint="eastAsia" w:ascii="仿宋_GB2312" w:hAnsi="仿宋_GB2312" w:eastAsia="仿宋_GB2312" w:cs="仿宋_GB2312"/>
          <w:color w:val="auto"/>
          <w:kern w:val="0"/>
          <w:sz w:val="32"/>
          <w:szCs w:val="32"/>
          <w:lang w:val="en-US" w:eastAsia="zh-CN"/>
        </w:rPr>
        <w:t>时间</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2023年4月底-5月期间</w:t>
      </w:r>
    </w:p>
    <w:p>
      <w:pPr>
        <w:widowControl/>
        <w:ind w:firstLine="320" w:firstLineChars="1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（三）</w:t>
      </w:r>
      <w:r>
        <w:rPr>
          <w:rFonts w:hint="eastAsia" w:ascii="仿宋_GB2312" w:hAnsi="仿宋_GB2312" w:eastAsia="仿宋_GB2312" w:cs="仿宋_GB2312"/>
          <w:color w:val="auto"/>
          <w:kern w:val="0"/>
          <w:sz w:val="32"/>
          <w:szCs w:val="32"/>
        </w:rPr>
        <w:t>项目预算：</w:t>
      </w:r>
      <w:r>
        <w:rPr>
          <w:rFonts w:hint="eastAsia" w:ascii="仿宋_GB2312" w:hAnsi="仿宋_GB2312" w:eastAsia="仿宋_GB2312" w:cs="仿宋_GB2312"/>
          <w:color w:val="auto"/>
          <w:kern w:val="0"/>
          <w:sz w:val="32"/>
          <w:szCs w:val="32"/>
          <w:lang w:val="en-US" w:eastAsia="zh-CN"/>
        </w:rPr>
        <w:t>30</w:t>
      </w:r>
      <w:r>
        <w:rPr>
          <w:rFonts w:hint="eastAsia" w:ascii="仿宋_GB2312" w:hAnsi="仿宋_GB2312" w:eastAsia="仿宋_GB2312" w:cs="仿宋_GB2312"/>
          <w:color w:val="auto"/>
          <w:kern w:val="0"/>
          <w:sz w:val="32"/>
          <w:szCs w:val="32"/>
        </w:rPr>
        <w:t>万人民币（高于此价格无效）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仿宋"/>
          <w:color w:val="000000"/>
          <w:sz w:val="32"/>
          <w:szCs w:val="32"/>
          <w:lang w:val="en-US" w:eastAsia="zh-CN"/>
        </w:rPr>
      </w:pPr>
      <w:r>
        <w:rPr>
          <w:rFonts w:hint="eastAsia" w:ascii="黑体" w:hAnsi="黑体" w:eastAsia="黑体" w:cs="仿宋"/>
          <w:color w:val="000000"/>
          <w:sz w:val="32"/>
          <w:szCs w:val="32"/>
        </w:rPr>
        <w:t>二、</w:t>
      </w:r>
      <w:r>
        <w:rPr>
          <w:rFonts w:hint="eastAsia" w:ascii="黑体" w:hAnsi="黑体" w:eastAsia="黑体" w:cs="仿宋"/>
          <w:color w:val="000000"/>
          <w:sz w:val="32"/>
          <w:szCs w:val="32"/>
          <w:lang w:val="en-US" w:eastAsia="zh-CN"/>
        </w:rPr>
        <w:t>采购需求</w:t>
      </w:r>
    </w:p>
    <w:p>
      <w:pPr>
        <w:spacing w:line="54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1.举办三场户外演出（2场乐队演唱会、1场音乐会）。</w:t>
      </w:r>
    </w:p>
    <w:p>
      <w:pPr>
        <w:spacing w:line="54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2.每场活动时长不少于80分钟</w:t>
      </w:r>
    </w:p>
    <w:p>
      <w:pPr>
        <w:spacing w:line="54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3.舞美设计</w:t>
      </w:r>
    </w:p>
    <w:p>
      <w:pPr>
        <w:spacing w:line="54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（1）舞台造型：设计方案不少于2版</w:t>
      </w:r>
    </w:p>
    <w:p>
      <w:pPr>
        <w:spacing w:line="540" w:lineRule="exact"/>
        <w:ind w:firstLine="640" w:firstLineChars="200"/>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（2）舞台面积：10m*5m</w:t>
      </w:r>
    </w:p>
    <w:p>
      <w:pPr>
        <w:spacing w:line="54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（3）灯光：光束灯不少于24台、LED灯不少于30台、面光灯不少于16台、烟雾机不少于2台、灯架、专业控制台</w:t>
      </w:r>
    </w:p>
    <w:p>
      <w:pPr>
        <w:spacing w:line="54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（4）音响：晚会类专业线阵音响、专业控制台、麦克风</w:t>
      </w:r>
    </w:p>
    <w:p>
      <w:pPr>
        <w:spacing w:line="54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（5）开场、暖场音乐</w:t>
      </w:r>
    </w:p>
    <w:p>
      <w:pPr>
        <w:spacing w:line="54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（6）设备运输</w:t>
      </w:r>
    </w:p>
    <w:p>
      <w:pPr>
        <w:spacing w:line="54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4.活动工作人员</w:t>
      </w:r>
    </w:p>
    <w:p>
      <w:pPr>
        <w:spacing w:line="54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（1）工作人员（包括但不限于）：场工、摄影师、舞台监督、专业灯光师、专业音响师等。</w:t>
      </w:r>
    </w:p>
    <w:p>
      <w:pPr>
        <w:spacing w:line="54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（2）节目要求：每场节目不少于15首歌曲</w:t>
      </w:r>
    </w:p>
    <w:p>
      <w:pPr>
        <w:spacing w:line="540" w:lineRule="exact"/>
        <w:ind w:firstLine="640" w:firstLineChars="200"/>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（3）音乐会需配备主持人1名。</w:t>
      </w:r>
    </w:p>
    <w:p>
      <w:pPr>
        <w:spacing w:line="54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5.活动宣传</w:t>
      </w:r>
    </w:p>
    <w:p>
      <w:pPr>
        <w:keepNext w:val="0"/>
        <w:keepLines w:val="0"/>
        <w:pageBreakBefore w:val="0"/>
        <w:kinsoku/>
        <w:wordWrap/>
        <w:overflowPunct/>
        <w:topLinePunct w:val="0"/>
        <w:autoSpaceDE/>
        <w:autoSpaceDN/>
        <w:bidi w:val="0"/>
        <w:adjustRightInd/>
        <w:snapToGrid/>
        <w:spacing w:line="560" w:lineRule="exact"/>
        <w:ind w:firstLine="601"/>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color w:val="auto"/>
          <w:kern w:val="0"/>
          <w:sz w:val="32"/>
          <w:szCs w:val="32"/>
          <w:lang w:eastAsia="zh-CN"/>
        </w:rPr>
        <w:t>媒体宣传：</w:t>
      </w:r>
      <w:r>
        <w:rPr>
          <w:rFonts w:hint="eastAsia" w:ascii="仿宋_GB2312" w:hAnsi="仿宋_GB2312" w:eastAsia="仿宋_GB2312" w:cs="仿宋_GB2312"/>
          <w:color w:val="auto"/>
          <w:kern w:val="0"/>
          <w:sz w:val="32"/>
          <w:szCs w:val="32"/>
          <w:lang w:val="en-US" w:eastAsia="zh-CN"/>
        </w:rPr>
        <w:t>借助传统媒体、新媒体等形式广泛宣传发布活动信息</w:t>
      </w:r>
      <w:r>
        <w:rPr>
          <w:rFonts w:hint="eastAsia" w:ascii="仿宋_GB2312" w:hAnsi="仿宋_GB2312" w:eastAsia="仿宋_GB2312" w:cs="仿宋_GB2312"/>
          <w:color w:val="auto"/>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01"/>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6.活动物料</w:t>
      </w:r>
    </w:p>
    <w:p>
      <w:pPr>
        <w:keepNext w:val="0"/>
        <w:keepLines w:val="0"/>
        <w:pageBreakBefore w:val="0"/>
        <w:kinsoku/>
        <w:wordWrap/>
        <w:overflowPunct/>
        <w:topLinePunct w:val="0"/>
        <w:autoSpaceDE/>
        <w:autoSpaceDN/>
        <w:bidi w:val="0"/>
        <w:adjustRightInd/>
        <w:snapToGrid/>
        <w:spacing w:line="560" w:lineRule="exact"/>
        <w:ind w:firstLine="601"/>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（1）荧光棒1500支（活动主题定制）</w:t>
      </w:r>
    </w:p>
    <w:p>
      <w:pPr>
        <w:keepNext w:val="0"/>
        <w:keepLines w:val="0"/>
        <w:pageBreakBefore w:val="0"/>
        <w:kinsoku/>
        <w:wordWrap/>
        <w:overflowPunct/>
        <w:topLinePunct w:val="0"/>
        <w:autoSpaceDE/>
        <w:autoSpaceDN/>
        <w:bidi w:val="0"/>
        <w:adjustRightInd/>
        <w:snapToGrid/>
        <w:spacing w:line="560" w:lineRule="exact"/>
        <w:ind w:firstLine="601"/>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（2）活动腕带1800条（活动主题定制）</w:t>
      </w:r>
    </w:p>
    <w:p>
      <w:pPr>
        <w:keepNext w:val="0"/>
        <w:keepLines w:val="0"/>
        <w:pageBreakBefore w:val="0"/>
        <w:kinsoku/>
        <w:wordWrap/>
        <w:overflowPunct/>
        <w:topLinePunct w:val="0"/>
        <w:autoSpaceDE/>
        <w:autoSpaceDN/>
        <w:bidi w:val="0"/>
        <w:adjustRightInd/>
        <w:snapToGrid/>
        <w:spacing w:line="560" w:lineRule="exact"/>
        <w:ind w:firstLine="601"/>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（3）主题LOGO异性1个</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highlight w:val="none"/>
          <w:lang w:val="en-US" w:eastAsia="zh-CN"/>
        </w:rPr>
        <w:t>）座椅不少于100张</w:t>
      </w:r>
    </w:p>
    <w:p>
      <w:pPr>
        <w:keepNext w:val="0"/>
        <w:keepLines w:val="0"/>
        <w:pageBreakBefore w:val="0"/>
        <w:kinsoku/>
        <w:wordWrap/>
        <w:overflowPunct/>
        <w:topLinePunct w:val="0"/>
        <w:autoSpaceDE/>
        <w:autoSpaceDN/>
        <w:bidi w:val="0"/>
        <w:adjustRightInd/>
        <w:snapToGrid/>
        <w:spacing w:line="560" w:lineRule="exact"/>
        <w:ind w:firstLine="601"/>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7.音像制作、直播</w:t>
      </w:r>
    </w:p>
    <w:p>
      <w:pPr>
        <w:keepNext w:val="0"/>
        <w:keepLines w:val="0"/>
        <w:pageBreakBefore w:val="0"/>
        <w:kinsoku/>
        <w:wordWrap/>
        <w:overflowPunct/>
        <w:topLinePunct w:val="0"/>
        <w:autoSpaceDE/>
        <w:autoSpaceDN/>
        <w:bidi w:val="0"/>
        <w:adjustRightInd/>
        <w:snapToGrid/>
        <w:spacing w:line="560" w:lineRule="exact"/>
        <w:ind w:firstLine="601"/>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（1）拍摄制作</w:t>
      </w:r>
      <w:r>
        <w:rPr>
          <w:rFonts w:hint="eastAsia" w:ascii="仿宋_GB2312" w:hAnsi="仿宋_GB2312" w:eastAsia="仿宋_GB2312" w:cs="仿宋_GB2312"/>
          <w:b w:val="0"/>
          <w:bCs w:val="0"/>
          <w:color w:val="auto"/>
          <w:kern w:val="0"/>
          <w:sz w:val="32"/>
          <w:szCs w:val="32"/>
          <w:highlight w:val="none"/>
          <w:lang w:val="en-US" w:eastAsia="zh-CN"/>
        </w:rPr>
        <w:t>1分钟以内短视频</w:t>
      </w:r>
    </w:p>
    <w:p>
      <w:pPr>
        <w:keepNext w:val="0"/>
        <w:keepLines w:val="0"/>
        <w:pageBreakBefore w:val="0"/>
        <w:kinsoku/>
        <w:wordWrap/>
        <w:overflowPunct/>
        <w:topLinePunct w:val="0"/>
        <w:autoSpaceDE/>
        <w:autoSpaceDN/>
        <w:bidi w:val="0"/>
        <w:adjustRightInd/>
        <w:snapToGrid/>
        <w:spacing w:line="560" w:lineRule="exact"/>
        <w:ind w:firstLine="601"/>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照片网络</w:t>
      </w:r>
      <w:r>
        <w:rPr>
          <w:rFonts w:hint="eastAsia" w:ascii="仿宋_GB2312" w:hAnsi="仿宋_GB2312" w:eastAsia="仿宋_GB2312" w:cs="仿宋_GB2312"/>
          <w:color w:val="auto"/>
          <w:kern w:val="0"/>
          <w:sz w:val="32"/>
          <w:szCs w:val="32"/>
          <w:highlight w:val="none"/>
          <w:lang w:eastAsia="zh-CN"/>
        </w:rPr>
        <w:t>直播</w:t>
      </w:r>
    </w:p>
    <w:p>
      <w:pPr>
        <w:keepNext w:val="0"/>
        <w:keepLines w:val="0"/>
        <w:pageBreakBefore w:val="0"/>
        <w:kinsoku/>
        <w:wordWrap/>
        <w:overflowPunct/>
        <w:topLinePunct w:val="0"/>
        <w:autoSpaceDN/>
        <w:bidi w:val="0"/>
        <w:adjustRightInd/>
        <w:snapToGrid/>
        <w:spacing w:line="560" w:lineRule="exact"/>
        <w:ind w:firstLine="643"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eastAsia="zh-CN"/>
        </w:rPr>
        <w:t>公司资质要求：</w:t>
      </w:r>
      <w:r>
        <w:rPr>
          <w:rFonts w:hint="eastAsia" w:ascii="仿宋_GB2312" w:hAnsi="仿宋_GB2312" w:eastAsia="仿宋_GB2312" w:cs="仿宋_GB2312"/>
          <w:color w:val="auto"/>
          <w:kern w:val="0"/>
          <w:sz w:val="32"/>
          <w:szCs w:val="32"/>
          <w:highlight w:val="none"/>
          <w:lang w:val="en-US" w:eastAsia="zh-CN"/>
        </w:rPr>
        <w:t>本项目公司经营范围须符合文化活动策划、文艺交流活动策划等资质，配备相应的舞台、灯光音响等设施设备操作人员。</w:t>
      </w:r>
      <w:r>
        <w:rPr>
          <w:rFonts w:hint="eastAsia" w:ascii="仿宋_GB2312" w:hAnsi="仿宋_GB2312" w:eastAsia="仿宋_GB2312" w:cs="仿宋_GB2312"/>
          <w:color w:val="auto"/>
          <w:kern w:val="0"/>
          <w:sz w:val="32"/>
          <w:szCs w:val="32"/>
          <w:highlight w:val="none"/>
          <w:lang w:eastAsia="zh-CN"/>
        </w:rPr>
        <w:t>请投标方提供营业资质信息、</w:t>
      </w:r>
      <w:r>
        <w:rPr>
          <w:rFonts w:hint="eastAsia" w:ascii="仿宋_GB2312" w:hAnsi="仿宋_GB2312" w:eastAsia="仿宋_GB2312" w:cs="仿宋_GB2312"/>
          <w:color w:val="auto"/>
          <w:kern w:val="0"/>
          <w:sz w:val="32"/>
          <w:szCs w:val="32"/>
          <w:highlight w:val="none"/>
          <w:lang w:val="en-US" w:eastAsia="zh-CN"/>
        </w:rPr>
        <w:t>完整的项目实施方案（包含演出方案、舞台效果图等内容）等。</w:t>
      </w:r>
    </w:p>
    <w:p>
      <w:pPr>
        <w:pStyle w:val="7"/>
        <w:keepNext w:val="0"/>
        <w:keepLines w:val="0"/>
        <w:pageBreakBefore w:val="0"/>
        <w:numPr>
          <w:ilvl w:val="0"/>
          <w:numId w:val="1"/>
        </w:numPr>
        <w:kinsoku/>
        <w:wordWrap/>
        <w:overflowPunct/>
        <w:topLinePunct w:val="0"/>
        <w:autoSpaceDN/>
        <w:bidi w:val="0"/>
        <w:adjustRightInd/>
        <w:snapToGrid/>
        <w:spacing w:line="560" w:lineRule="exact"/>
        <w:ind w:firstLine="640" w:firstLineChars="200"/>
        <w:jc w:val="both"/>
        <w:textAlignment w:val="auto"/>
        <w:rPr>
          <w:rFonts w:hint="eastAsia" w:ascii="黑体" w:hAnsi="黑体" w:eastAsia="黑体" w:cs="仿宋"/>
          <w:color w:val="auto"/>
          <w:kern w:val="2"/>
          <w:sz w:val="32"/>
          <w:szCs w:val="32"/>
          <w:highlight w:val="none"/>
          <w:lang w:val="en-US" w:eastAsia="zh-CN" w:bidi="ar-SA"/>
        </w:rPr>
      </w:pPr>
      <w:r>
        <w:rPr>
          <w:rFonts w:hint="eastAsia" w:ascii="黑体" w:hAnsi="黑体" w:eastAsia="黑体" w:cs="仿宋"/>
          <w:color w:val="auto"/>
          <w:kern w:val="2"/>
          <w:sz w:val="32"/>
          <w:szCs w:val="32"/>
          <w:highlight w:val="none"/>
          <w:lang w:val="en-US" w:eastAsia="zh-CN" w:bidi="ar-SA"/>
        </w:rPr>
        <w:t>服务要求</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auto"/>
          <w:spacing w:val="0"/>
          <w:kern w:val="0"/>
          <w:sz w:val="32"/>
          <w:szCs w:val="32"/>
          <w:lang w:val="en-US" w:eastAsia="zh-CN" w:bidi="ar"/>
        </w:rPr>
      </w:pPr>
      <w:r>
        <w:rPr>
          <w:rFonts w:hint="eastAsia" w:ascii="仿宋_GB2312" w:hAnsi="仿宋_GB2312" w:eastAsia="仿宋_GB2312" w:cs="仿宋_GB2312"/>
          <w:color w:val="auto"/>
          <w:kern w:val="0"/>
          <w:sz w:val="32"/>
          <w:szCs w:val="32"/>
          <w:lang w:eastAsia="zh-CN"/>
        </w:rPr>
        <w:t>（一）中标方须</w:t>
      </w:r>
      <w:r>
        <w:rPr>
          <w:rFonts w:hint="eastAsia" w:ascii="仿宋_GB2312" w:hAnsi="仿宋_GB2312" w:eastAsia="仿宋_GB2312" w:cs="仿宋_GB2312"/>
          <w:b w:val="0"/>
          <w:bCs w:val="0"/>
          <w:color w:val="auto"/>
          <w:kern w:val="0"/>
          <w:sz w:val="32"/>
          <w:szCs w:val="32"/>
          <w:lang w:eastAsia="zh-CN"/>
        </w:rPr>
        <w:t>根据采购方提供的时间、地点开展项目，并</w:t>
      </w:r>
      <w:r>
        <w:rPr>
          <w:rFonts w:hint="eastAsia" w:ascii="仿宋_GB2312" w:hAnsi="仿宋_GB2312" w:eastAsia="仿宋_GB2312" w:cs="仿宋_GB2312"/>
          <w:color w:val="auto"/>
          <w:kern w:val="0"/>
          <w:sz w:val="32"/>
          <w:szCs w:val="32"/>
          <w:lang w:eastAsia="zh-CN"/>
        </w:rPr>
        <w:t>安排专人跟进</w:t>
      </w:r>
      <w:r>
        <w:rPr>
          <w:rFonts w:hint="eastAsia" w:ascii="仿宋_GB2312" w:hAnsi="仿宋_GB2312" w:eastAsia="仿宋_GB2312" w:cs="仿宋_GB2312"/>
          <w:b w:val="0"/>
          <w:i w:val="0"/>
          <w:caps w:val="0"/>
          <w:color w:val="auto"/>
          <w:spacing w:val="0"/>
          <w:kern w:val="0"/>
          <w:sz w:val="32"/>
          <w:szCs w:val="32"/>
          <w:lang w:val="en-US" w:eastAsia="zh-CN" w:bidi="ar"/>
        </w:rPr>
        <w:t>，所有设施设备须配备相应资质的安装、操作工作人员，确保项目顺利、安全、有序的开展。项目实施过程中，不得以采购方名义开展其他无关活动或发布其他商业广告，否则后果自负。</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auto"/>
          <w:spacing w:val="0"/>
          <w:kern w:val="0"/>
          <w:sz w:val="32"/>
          <w:szCs w:val="32"/>
          <w:lang w:val="en-US" w:eastAsia="zh-CN" w:bidi="ar"/>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二</w:t>
      </w:r>
      <w:r>
        <w:rPr>
          <w:rFonts w:hint="eastAsia" w:ascii="仿宋_GB2312" w:hAnsi="仿宋_GB2312" w:eastAsia="仿宋_GB2312" w:cs="仿宋_GB2312"/>
          <w:color w:val="auto"/>
          <w:kern w:val="0"/>
          <w:sz w:val="32"/>
          <w:szCs w:val="32"/>
          <w:lang w:eastAsia="zh-CN"/>
        </w:rPr>
        <w:t>）中标方不得私自更改演出内容、团队及宣传内容，</w:t>
      </w:r>
      <w:r>
        <w:rPr>
          <w:rFonts w:hint="eastAsia" w:ascii="仿宋_GB2312" w:hAnsi="仿宋_GB2312" w:eastAsia="仿宋_GB2312" w:cs="仿宋_GB2312"/>
          <w:b w:val="0"/>
          <w:i w:val="0"/>
          <w:caps w:val="0"/>
          <w:color w:val="auto"/>
          <w:spacing w:val="0"/>
          <w:kern w:val="0"/>
          <w:sz w:val="32"/>
          <w:szCs w:val="32"/>
          <w:lang w:val="en-US" w:eastAsia="zh-CN" w:bidi="ar"/>
        </w:rPr>
        <w:t>若需更改，请提前至少5天告知采购方进行协商，经采购方确认、同意后方可变更。</w:t>
      </w:r>
    </w:p>
    <w:p>
      <w:pPr>
        <w:keepNext w:val="0"/>
        <w:keepLines w:val="0"/>
        <w:pageBreakBefore w:val="0"/>
        <w:numPr>
          <w:ilvl w:val="0"/>
          <w:numId w:val="0"/>
        </w:numPr>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auto"/>
          <w:spacing w:val="0"/>
          <w:kern w:val="0"/>
          <w:sz w:val="32"/>
          <w:szCs w:val="32"/>
          <w:lang w:val="en-US" w:eastAsia="zh-CN" w:bidi="ar"/>
        </w:rPr>
      </w:pPr>
      <w:r>
        <w:rPr>
          <w:rFonts w:hint="eastAsia" w:ascii="仿宋_GB2312" w:hAnsi="仿宋_GB2312" w:eastAsia="仿宋_GB2312" w:cs="仿宋_GB2312"/>
          <w:color w:val="auto"/>
          <w:kern w:val="0"/>
          <w:sz w:val="32"/>
          <w:szCs w:val="32"/>
          <w:lang w:eastAsia="zh-CN"/>
        </w:rPr>
        <w:t>（三）</w:t>
      </w:r>
      <w:r>
        <w:rPr>
          <w:rFonts w:hint="eastAsia" w:ascii="仿宋_GB2312" w:hAnsi="仿宋_GB2312" w:eastAsia="仿宋_GB2312" w:cs="仿宋_GB2312"/>
          <w:b w:val="0"/>
          <w:i w:val="0"/>
          <w:caps w:val="0"/>
          <w:color w:val="auto"/>
          <w:spacing w:val="0"/>
          <w:kern w:val="0"/>
          <w:sz w:val="32"/>
          <w:szCs w:val="32"/>
          <w:lang w:val="en-US" w:eastAsia="zh-CN" w:bidi="ar"/>
        </w:rPr>
        <w:t>服务期间，如遇恶劣天气，如下雨、停电、地震、台风、水灾、疫情等不可抗力影响，造成的活动停止或延后的，采购方不承担任何责任，中标方应配合甲方调整活动实施。</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黑体" w:hAnsi="黑体" w:eastAsia="黑体" w:cs="仿宋"/>
          <w:color w:val="auto"/>
          <w:kern w:val="2"/>
          <w:sz w:val="32"/>
          <w:szCs w:val="32"/>
          <w:lang w:val="en-US" w:eastAsia="zh-CN" w:bidi="ar-SA"/>
        </w:rPr>
      </w:pPr>
      <w:r>
        <w:rPr>
          <w:rFonts w:hint="eastAsia" w:ascii="仿宋_GB2312" w:hAnsi="仿宋_GB2312" w:eastAsia="仿宋_GB2312" w:cs="仿宋_GB2312"/>
          <w:b w:val="0"/>
          <w:i w:val="0"/>
          <w:caps w:val="0"/>
          <w:color w:val="auto"/>
          <w:spacing w:val="0"/>
          <w:kern w:val="0"/>
          <w:sz w:val="32"/>
          <w:szCs w:val="32"/>
          <w:lang w:val="en-US" w:eastAsia="zh-CN" w:bidi="ar"/>
        </w:rPr>
        <w:t>（四）中标方</w:t>
      </w:r>
      <w:r>
        <w:rPr>
          <w:rFonts w:hint="eastAsia" w:ascii="仿宋_GB2312" w:hAnsi="仿宋_GB2312" w:eastAsia="仿宋_GB2312" w:cs="仿宋_GB2312"/>
          <w:color w:val="auto"/>
          <w:kern w:val="0"/>
          <w:sz w:val="32"/>
          <w:szCs w:val="32"/>
          <w:lang w:val="zh-Hans" w:eastAsia="zh-CN"/>
        </w:rPr>
        <w:t>在意识形态审查中负主体责任，负责提前审查，避免演出内容、</w:t>
      </w:r>
      <w:r>
        <w:rPr>
          <w:rFonts w:hint="eastAsia" w:ascii="仿宋_GB2312" w:hAnsi="仿宋_GB2312" w:eastAsia="仿宋_GB2312" w:cs="仿宋_GB2312"/>
          <w:color w:val="auto"/>
          <w:kern w:val="0"/>
          <w:sz w:val="32"/>
          <w:szCs w:val="32"/>
          <w:lang w:val="en-US" w:eastAsia="zh-CN"/>
        </w:rPr>
        <w:t>物料</w:t>
      </w:r>
      <w:r>
        <w:rPr>
          <w:rFonts w:hint="eastAsia" w:ascii="仿宋_GB2312" w:hAnsi="仿宋_GB2312" w:eastAsia="仿宋_GB2312" w:cs="仿宋_GB2312"/>
          <w:color w:val="auto"/>
          <w:kern w:val="0"/>
          <w:sz w:val="32"/>
          <w:szCs w:val="32"/>
          <w:lang w:val="zh-Hans" w:eastAsia="zh-CN"/>
        </w:rPr>
        <w:t>设计宣传等存在意识形态、版权问题。</w:t>
      </w:r>
    </w:p>
    <w:p>
      <w:pPr>
        <w:spacing w:line="560" w:lineRule="exact"/>
        <w:ind w:firstLine="640" w:firstLineChars="200"/>
        <w:rPr>
          <w:rFonts w:ascii="黑体" w:hAnsi="黑体" w:eastAsia="黑体" w:cs="仿宋"/>
          <w:color w:val="auto"/>
          <w:sz w:val="32"/>
          <w:szCs w:val="32"/>
        </w:rPr>
      </w:pPr>
      <w:r>
        <w:rPr>
          <w:rFonts w:hint="eastAsia" w:ascii="黑体" w:hAnsi="黑体" w:eastAsia="黑体" w:cs="仿宋"/>
          <w:color w:val="auto"/>
          <w:sz w:val="32"/>
          <w:szCs w:val="32"/>
          <w:lang w:val="en-US" w:eastAsia="zh-CN"/>
        </w:rPr>
        <w:t>四</w:t>
      </w:r>
      <w:r>
        <w:rPr>
          <w:rFonts w:hint="eastAsia" w:ascii="黑体" w:hAnsi="黑体" w:eastAsia="黑体" w:cs="仿宋"/>
          <w:color w:val="auto"/>
          <w:sz w:val="32"/>
          <w:szCs w:val="32"/>
        </w:rPr>
        <w:t>、供应商资格要求</w:t>
      </w:r>
    </w:p>
    <w:p>
      <w:pPr>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投标方须是在中华人民共和国境内注册，具有独立法人资格或是具有独立承担民事责任的能力的其它组织（提供营业执照或事业单位法人证及其商事主体网页查询截图等扫描件并加盖公章，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二）投标方参与本项目投标前三年内（投标方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r>
        <w:rPr>
          <w:rFonts w:hint="eastAsia" w:ascii="仿宋_GB2312" w:hAnsi="仿宋_GB2312" w:eastAsia="仿宋_GB2312" w:cs="仿宋_GB2312"/>
          <w:color w:val="auto"/>
          <w:kern w:val="0"/>
          <w:sz w:val="32"/>
          <w:szCs w:val="32"/>
        </w:rPr>
        <w:t>；</w:t>
      </w:r>
    </w:p>
    <w:p>
      <w:pPr>
        <w:widowControl/>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（三）投标方</w:t>
      </w:r>
      <w:r>
        <w:rPr>
          <w:rFonts w:hint="eastAsia" w:ascii="仿宋_GB2312" w:hAnsi="仿宋_GB2312" w:eastAsia="仿宋_GB2312" w:cs="仿宋_GB2312"/>
          <w:color w:val="auto"/>
          <w:kern w:val="0"/>
          <w:sz w:val="32"/>
          <w:szCs w:val="32"/>
          <w:lang w:val="en-US" w:eastAsia="zh-CN"/>
        </w:rPr>
        <w:t>具备履行项目所必需的设备和专业技术能力的证明材料，</w:t>
      </w:r>
      <w:r>
        <w:rPr>
          <w:rFonts w:hint="eastAsia" w:ascii="仿宋_GB2312" w:hAnsi="仿宋_GB2312" w:eastAsia="仿宋_GB2312" w:cs="仿宋_GB2312"/>
          <w:color w:val="auto"/>
          <w:kern w:val="0"/>
          <w:sz w:val="32"/>
          <w:szCs w:val="32"/>
          <w:lang w:val="en-US" w:eastAsia="zh-CN" w:bidi="ar-SA"/>
        </w:rPr>
        <w:t>须包</w:t>
      </w:r>
      <w:r>
        <w:rPr>
          <w:rFonts w:hint="eastAsia" w:ascii="仿宋_GB2312" w:hAnsi="仿宋_GB2312" w:eastAsia="仿宋_GB2312" w:cs="仿宋_GB2312"/>
          <w:color w:val="auto"/>
          <w:kern w:val="0"/>
          <w:sz w:val="32"/>
          <w:szCs w:val="32"/>
          <w:highlight w:val="none"/>
          <w:lang w:val="en-US" w:eastAsia="zh-CN" w:bidi="ar-SA"/>
        </w:rPr>
        <w:t>含文化活动策划或文艺交流活动策划等相关资质（提供公司简介，含相关资质证明、报价单、项目方案、至少一个服务案例，服务案例需附服务协议或委托服务书复印或扫描件，重要</w:t>
      </w:r>
      <w:r>
        <w:rPr>
          <w:rFonts w:hint="eastAsia" w:ascii="仿宋_GB2312" w:hAnsi="仿宋_GB2312" w:eastAsia="仿宋_GB2312" w:cs="仿宋_GB2312"/>
          <w:b w:val="0"/>
          <w:bCs w:val="0"/>
          <w:color w:val="auto"/>
          <w:kern w:val="0"/>
          <w:sz w:val="32"/>
          <w:szCs w:val="32"/>
          <w:highlight w:val="none"/>
          <w:lang w:val="en-US" w:eastAsia="zh-CN"/>
        </w:rPr>
        <w:t>信息可加码</w:t>
      </w:r>
      <w:r>
        <w:rPr>
          <w:rFonts w:hint="eastAsia" w:ascii="仿宋_GB2312" w:hAnsi="仿宋_GB2312" w:eastAsia="仿宋_GB2312" w:cs="仿宋_GB2312"/>
          <w:b w:val="0"/>
          <w:bCs w:val="0"/>
          <w:color w:val="auto"/>
          <w:kern w:val="0"/>
          <w:sz w:val="32"/>
          <w:szCs w:val="32"/>
          <w:lang w:val="en-US" w:eastAsia="zh-CN"/>
        </w:rPr>
        <w:t>处理，提供国家企业信用信息公示系统http://www.gsxt.gov.cn/index.html网页查询截图并加盖公章）。</w:t>
      </w:r>
    </w:p>
    <w:p>
      <w:pPr>
        <w:spacing w:line="560" w:lineRule="exact"/>
        <w:ind w:firstLine="640" w:firstLineChars="200"/>
        <w:rPr>
          <w:rFonts w:ascii="黑体" w:hAnsi="黑体" w:eastAsia="黑体" w:cs="仿宋"/>
          <w:color w:val="auto"/>
          <w:sz w:val="32"/>
          <w:szCs w:val="32"/>
        </w:rPr>
      </w:pPr>
      <w:r>
        <w:rPr>
          <w:rFonts w:hint="eastAsia" w:ascii="黑体" w:hAnsi="黑体" w:eastAsia="黑体" w:cs="仿宋"/>
          <w:color w:val="auto"/>
          <w:sz w:val="32"/>
          <w:szCs w:val="32"/>
          <w:lang w:val="en-US" w:eastAsia="zh-CN"/>
        </w:rPr>
        <w:t>五</w:t>
      </w:r>
      <w:r>
        <w:rPr>
          <w:rFonts w:hint="eastAsia" w:ascii="黑体" w:hAnsi="黑体" w:eastAsia="黑体" w:cs="仿宋"/>
          <w:color w:val="auto"/>
          <w:sz w:val="32"/>
          <w:szCs w:val="32"/>
        </w:rPr>
        <w:t>、评标定标方法</w:t>
      </w:r>
    </w:p>
    <w:p>
      <w:pPr>
        <w:pStyle w:val="7"/>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本项目采用综合评分法作为评标方式，在最大限度满足招标文件实质性要求前提下，按照招标文件规定的各项因素进行量化打分，以评标总得分最高的投标供应商作为中标候选供应商或中标供应商的评标方法</w:t>
      </w:r>
      <w:r>
        <w:rPr>
          <w:rFonts w:hint="eastAsia" w:ascii="仿宋_GB2312" w:hAnsi="仿宋_GB2312" w:eastAsia="仿宋_GB2312" w:cs="仿宋_GB2312"/>
          <w:color w:val="auto"/>
          <w:kern w:val="0"/>
          <w:sz w:val="32"/>
          <w:szCs w:val="32"/>
          <w:lang w:val="en-US" w:eastAsia="zh-CN"/>
        </w:rPr>
        <w:t>。</w:t>
      </w:r>
    </w:p>
    <w:p>
      <w:pPr>
        <w:spacing w:line="560" w:lineRule="exact"/>
        <w:ind w:firstLine="640" w:firstLineChars="200"/>
        <w:rPr>
          <w:rFonts w:ascii="黑体" w:hAnsi="黑体" w:eastAsia="黑体" w:cs="仿宋"/>
          <w:color w:val="auto"/>
          <w:sz w:val="32"/>
          <w:szCs w:val="32"/>
        </w:rPr>
      </w:pPr>
      <w:r>
        <w:rPr>
          <w:rFonts w:hint="eastAsia" w:ascii="黑体" w:hAnsi="黑体" w:eastAsia="黑体" w:cs="仿宋"/>
          <w:color w:val="auto"/>
          <w:sz w:val="32"/>
          <w:szCs w:val="32"/>
          <w:lang w:val="en-US" w:eastAsia="zh-CN"/>
        </w:rPr>
        <w:t>六</w:t>
      </w:r>
      <w:r>
        <w:rPr>
          <w:rFonts w:hint="eastAsia" w:ascii="黑体" w:hAnsi="黑体" w:eastAsia="黑体" w:cs="仿宋"/>
          <w:color w:val="auto"/>
          <w:sz w:val="32"/>
          <w:szCs w:val="32"/>
        </w:rPr>
        <w:t>、商务需求</w:t>
      </w:r>
    </w:p>
    <w:p>
      <w:pPr>
        <w:pStyle w:val="7"/>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rPr>
        <w:t>（一）服务期：</w:t>
      </w:r>
      <w:r>
        <w:rPr>
          <w:rFonts w:hint="eastAsia" w:ascii="仿宋_GB2312" w:hAnsi="仿宋_GB2312" w:eastAsia="仿宋_GB2312" w:cs="仿宋_GB2312"/>
          <w:color w:val="auto"/>
          <w:kern w:val="0"/>
          <w:sz w:val="32"/>
          <w:szCs w:val="32"/>
          <w:lang w:val="en-US" w:eastAsia="zh-CN"/>
        </w:rPr>
        <w:t>自合同签订之日起，至2023年5月30日</w:t>
      </w:r>
      <w:r>
        <w:rPr>
          <w:rFonts w:hint="default" w:ascii="仿宋_GB2312" w:hAnsi="仿宋_GB2312" w:eastAsia="仿宋_GB2312" w:cs="仿宋_GB2312"/>
          <w:color w:val="auto"/>
          <w:kern w:val="0"/>
          <w:sz w:val="32"/>
          <w:szCs w:val="32"/>
          <w:lang w:val="en-US" w:eastAsia="zh-CN"/>
        </w:rPr>
        <w:t>。</w:t>
      </w:r>
    </w:p>
    <w:p>
      <w:pPr>
        <w:pStyle w:val="7"/>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lang w:eastAsia="zh-CN"/>
        </w:rPr>
      </w:pPr>
      <w:r>
        <w:rPr>
          <w:rFonts w:hint="default" w:ascii="仿宋_GB2312" w:hAnsi="仿宋_GB2312" w:eastAsia="仿宋_GB2312" w:cs="仿宋_GB2312"/>
          <w:color w:val="auto"/>
          <w:kern w:val="0"/>
          <w:sz w:val="32"/>
          <w:szCs w:val="32"/>
          <w:lang w:val="en-US" w:eastAsia="zh-CN"/>
        </w:rPr>
        <w:t>（二）服务地点：</w:t>
      </w:r>
      <w:r>
        <w:rPr>
          <w:rFonts w:hint="eastAsia" w:ascii="仿宋_GB2312" w:hAnsi="仿宋_GB2312" w:eastAsia="仿宋_GB2312" w:cs="仿宋_GB2312"/>
          <w:color w:val="auto"/>
          <w:kern w:val="0"/>
          <w:sz w:val="32"/>
          <w:szCs w:val="32"/>
          <w:highlight w:val="none"/>
          <w:lang w:eastAsia="zh-CN"/>
        </w:rPr>
        <w:t>光明区</w:t>
      </w:r>
      <w:r>
        <w:rPr>
          <w:rFonts w:hint="eastAsia" w:ascii="仿宋_GB2312" w:hAnsi="仿宋_GB2312" w:eastAsia="仿宋_GB2312" w:cs="仿宋_GB2312"/>
          <w:color w:val="auto"/>
          <w:kern w:val="0"/>
          <w:sz w:val="32"/>
          <w:szCs w:val="32"/>
          <w:highlight w:val="none"/>
          <w:lang w:val="en-US" w:eastAsia="zh-CN"/>
        </w:rPr>
        <w:t>文化馆</w:t>
      </w:r>
      <w:r>
        <w:rPr>
          <w:rFonts w:hint="eastAsia" w:ascii="仿宋_GB2312" w:hAnsi="仿宋_GB2312" w:eastAsia="仿宋_GB2312" w:cs="仿宋_GB2312"/>
          <w:color w:val="auto"/>
          <w:kern w:val="0"/>
          <w:sz w:val="32"/>
          <w:szCs w:val="32"/>
          <w:highlight w:val="none"/>
          <w:lang w:eastAsia="zh-CN"/>
        </w:rPr>
        <w:t>。</w:t>
      </w:r>
    </w:p>
    <w:p>
      <w:pPr>
        <w:pStyle w:val="7"/>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（三）金额和供应商要求</w:t>
      </w:r>
    </w:p>
    <w:p>
      <w:pPr>
        <w:pStyle w:val="7"/>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1.预算金额：≤30万元，超过30万元视为无效响应。</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2.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3</w:t>
      </w:r>
      <w:r>
        <w:rPr>
          <w:rFonts w:hint="eastAsia" w:ascii="仿宋_GB2312" w:hAnsi="仿宋" w:eastAsia="仿宋_GB2312" w:cs="仿宋"/>
          <w:color w:val="auto"/>
          <w:sz w:val="32"/>
          <w:szCs w:val="32"/>
        </w:rPr>
        <w:t>.投标供应商应当根据本企业的成本自行决定报价，但不得以低于其企业成本的报价投标。</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4</w:t>
      </w:r>
      <w:r>
        <w:rPr>
          <w:rFonts w:hint="eastAsia" w:ascii="仿宋_GB2312" w:hAnsi="仿宋" w:eastAsia="仿宋_GB2312" w:cs="仿宋"/>
          <w:color w:val="auto"/>
          <w:sz w:val="32"/>
          <w:szCs w:val="32"/>
        </w:rPr>
        <w:t>.投标供应商的报价不得超过项目预算金额。</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5</w:t>
      </w:r>
      <w:r>
        <w:rPr>
          <w:rFonts w:hint="eastAsia" w:ascii="仿宋_GB2312" w:hAnsi="仿宋" w:eastAsia="仿宋_GB2312" w:cs="仿宋"/>
          <w:color w:val="auto"/>
          <w:sz w:val="32"/>
          <w:szCs w:val="32"/>
        </w:rPr>
        <w:t>.投标供应商的报价，应当是本项目采购范围和采购文件及合同条款上所列的各项内容中所述的全部，不得以任何理由予以重复。</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6</w:t>
      </w:r>
      <w:r>
        <w:rPr>
          <w:rFonts w:hint="eastAsia" w:ascii="仿宋_GB2312" w:hAnsi="仿宋" w:eastAsia="仿宋_GB2312" w:cs="仿宋"/>
          <w:color w:val="auto"/>
          <w:sz w:val="32"/>
          <w:szCs w:val="32"/>
        </w:rPr>
        <w:t>.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7</w:t>
      </w:r>
      <w:r>
        <w:rPr>
          <w:rFonts w:hint="eastAsia" w:ascii="仿宋_GB2312" w:hAnsi="仿宋" w:eastAsia="仿宋_GB2312" w:cs="仿宋"/>
          <w:color w:val="auto"/>
          <w:sz w:val="32"/>
          <w:szCs w:val="32"/>
        </w:rPr>
        <w:t>.投标供应商应先到项目地点踏勘以充分了解项目的位置、情况、道路及任何其它足以影响投标报价的情况，任何因忽视或误解项目情况而导致的索赔或服务期限延长申请将不获批准。</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8</w:t>
      </w:r>
      <w:r>
        <w:rPr>
          <w:rFonts w:hint="eastAsia" w:ascii="仿宋_GB2312" w:hAnsi="仿宋" w:eastAsia="仿宋_GB2312" w:cs="仿宋"/>
          <w:color w:val="auto"/>
          <w:sz w:val="32"/>
          <w:szCs w:val="32"/>
        </w:rPr>
        <w:t>.投标供应商不得期望通过索赔等方式获取补偿，否则，除可能遭到拒绝外，还可能将被作为不良行为记录在案，并可能影响其以后参加政府采购的项目投标。各投标供应商在报价时，应充分考虑报价的风险。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四）付款方式：付款以项目实际完成情况结算，实报实销。最终实际支付费用不得超过签订合同费用。项目款项分2阶段支付：1.前期启动经费，合同总额的60%。在合同签订后且收到等额合法税务发票后支付。2.验收经费，合同总额的40%。根据验收情况进行支付，验收达到合格且收到等额合法税务发票后支付合同总额的40%；验收不合格，则扣除总经费的10%不予支付。</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（五）验收要求</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具体以合同约定为准</w:t>
      </w:r>
      <w:r>
        <w:rPr>
          <w:rFonts w:hint="eastAsia" w:ascii="仿宋_GB2312" w:hAnsi="仿宋_GB2312" w:eastAsia="仿宋_GB2312" w:cs="仿宋_GB2312"/>
          <w:b w:val="0"/>
          <w:i w:val="0"/>
          <w:caps w:val="0"/>
          <w:color w:val="auto"/>
          <w:spacing w:val="0"/>
          <w:kern w:val="0"/>
          <w:sz w:val="32"/>
          <w:szCs w:val="32"/>
          <w:lang w:val="en-US" w:eastAsia="zh-CN" w:bidi="ar"/>
        </w:rPr>
        <w:t>。</w:t>
      </w:r>
    </w:p>
    <w:p>
      <w:pPr>
        <w:pStyle w:val="7"/>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（六）违约责任：中标方应按照约定积极提供签订履约合同的相关条件，除不可抗力因素外，应按照中标规定签订合同，如存在故意拖延、不积极履行签订等工作的应承担相应的违约责任。</w:t>
      </w:r>
    </w:p>
    <w:p>
      <w:pPr>
        <w:pStyle w:val="7"/>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违约金为占中标价的5%。招标结果公示结束后20天内，中标方未与采购方洽谈签约事宜，被采购方书面通知认定为违约的，直接依法终止合同。在合同履行过程中，未完全按照合同约定履行，被采购方书面通知认定为违约的，采购方在支付项目尾款时，扣除5%的违约金。</w:t>
      </w:r>
    </w:p>
    <w:p>
      <w:pPr>
        <w:pStyle w:val="7"/>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（七）其他：中标通知书送达中标方后3日内，中标方应主动前来采购方办公点洽谈签约事宜。</w:t>
      </w:r>
    </w:p>
    <w:p>
      <w:pPr>
        <w:pStyle w:val="7"/>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 w:eastAsia="仿宋_GB2312" w:cs="仿宋"/>
          <w:color w:val="auto"/>
          <w:sz w:val="32"/>
          <w:szCs w:val="32"/>
        </w:rPr>
      </w:pPr>
    </w:p>
    <w:p>
      <w:pPr>
        <w:pStyle w:val="7"/>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 w:eastAsia="仿宋_GB2312" w:cs="仿宋"/>
          <w:color w:val="auto"/>
          <w:sz w:val="32"/>
          <w:szCs w:val="32"/>
        </w:rPr>
      </w:pPr>
    </w:p>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90C227"/>
    <w:multiLevelType w:val="singleLevel"/>
    <w:tmpl w:val="5790C22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xODc0YzExOTI1MzkwMTg4MGI1ZmJjN2E3YmNmMjMifQ=="/>
  </w:docVars>
  <w:rsids>
    <w:rsidRoot w:val="62D26492"/>
    <w:rsid w:val="037C1594"/>
    <w:rsid w:val="17083D9F"/>
    <w:rsid w:val="212245E1"/>
    <w:rsid w:val="27213FD6"/>
    <w:rsid w:val="2C595565"/>
    <w:rsid w:val="3E523987"/>
    <w:rsid w:val="43767192"/>
    <w:rsid w:val="582729D3"/>
    <w:rsid w:val="5EDC0781"/>
    <w:rsid w:val="62D26492"/>
    <w:rsid w:val="66830E1D"/>
    <w:rsid w:val="6E0F6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character" w:styleId="6">
    <w:name w:val="Hyperlink"/>
    <w:basedOn w:val="5"/>
    <w:qFormat/>
    <w:uiPriority w:val="0"/>
    <w:rPr>
      <w:color w:val="0000FF"/>
      <w:u w:val="single"/>
    </w:rPr>
  </w:style>
  <w:style w:type="paragraph" w:customStyle="1" w:styleId="7">
    <w:name w:val="WW-Default"/>
    <w:qFormat/>
    <w:uiPriority w:val="99"/>
    <w:pPr>
      <w:widowControl w:val="0"/>
      <w:suppressAutoHyphens/>
      <w:autoSpaceDE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2504</Words>
  <Characters>2601</Characters>
  <Lines>0</Lines>
  <Paragraphs>0</Paragraphs>
  <TotalTime>1</TotalTime>
  <ScaleCrop>false</ScaleCrop>
  <LinksUpToDate>false</LinksUpToDate>
  <CharactersWithSpaces>2602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2020-11-11T09:24:00Z</dcterms:created>
  <dc:creator>ZY</dc:creator>
  <cp:lastModifiedBy>潘</cp:lastModifiedBy>
  <cp:lastPrinted>2023-04-20T07:19:54Z</cp:lastPrinted>
  <dcterms:modified xsi:type="dcterms:W3CDTF">2023-04-20T07:27:16Z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6E5CBB8BCF934F44957BA94D585E7356_12</vt:lpwstr>
  </property>
</Properties>
</file>